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AEC130E">
      <w:pPr>
        <w:pStyle w:val="2"/>
        <w:rPr>
          <w:rFonts w:hint="eastAsia"/>
          <w:highlight w:val="none"/>
        </w:rPr>
      </w:pPr>
      <w:r>
        <w:rPr>
          <w:rFonts w:hint="eastAsia"/>
          <w:highlight w:val="none"/>
        </w:rPr>
        <w:t>拟签订采购合同文本</w:t>
      </w:r>
    </w:p>
    <w:p w14:paraId="6CB37458">
      <w:pPr>
        <w:spacing w:line="360" w:lineRule="auto"/>
        <w:jc w:val="center"/>
        <w:rPr>
          <w:rFonts w:hint="eastAsia" w:ascii="宋体" w:hAnsi="宋体" w:cs="宋体"/>
          <w:b/>
          <w:bCs/>
          <w:spacing w:val="26"/>
          <w:sz w:val="44"/>
          <w:szCs w:val="44"/>
          <w:highlight w:val="none"/>
        </w:rPr>
      </w:pPr>
    </w:p>
    <w:p w14:paraId="0CDA1FBE">
      <w:pPr>
        <w:adjustRightInd w:val="0"/>
        <w:snapToGrid w:val="0"/>
        <w:spacing w:line="360" w:lineRule="auto"/>
        <w:jc w:val="center"/>
        <w:rPr>
          <w:rFonts w:hint="eastAsia" w:ascii="宋体" w:hAnsi="宋体" w:eastAsia="宋体" w:cs="宋体"/>
          <w:b/>
          <w:bCs/>
          <w:spacing w:val="26"/>
          <w:sz w:val="36"/>
          <w:szCs w:val="36"/>
          <w:highlight w:val="none"/>
          <w:lang w:eastAsia="zh-CN"/>
        </w:rPr>
      </w:pPr>
      <w:r>
        <w:rPr>
          <w:rFonts w:hint="eastAsia" w:ascii="宋体" w:hAnsi="宋体" w:cs="宋体"/>
          <w:b/>
          <w:bCs/>
          <w:spacing w:val="26"/>
          <w:sz w:val="36"/>
          <w:szCs w:val="36"/>
          <w:highlight w:val="none"/>
        </w:rPr>
        <w:t>西安市第二社会福利院</w:t>
      </w:r>
      <w:r>
        <w:rPr>
          <w:rFonts w:hint="eastAsia" w:ascii="宋体" w:hAnsi="宋体" w:eastAsia="宋体" w:cs="宋体"/>
          <w:b/>
          <w:bCs/>
          <w:spacing w:val="26"/>
          <w:sz w:val="36"/>
          <w:szCs w:val="36"/>
          <w:highlight w:val="none"/>
          <w:lang w:eastAsia="zh-CN"/>
        </w:rPr>
        <w:t>重度残疾人康复训练项目</w:t>
      </w:r>
    </w:p>
    <w:p w14:paraId="72A74049">
      <w:pPr>
        <w:spacing w:line="360" w:lineRule="auto"/>
        <w:jc w:val="center"/>
        <w:rPr>
          <w:rFonts w:hint="eastAsia" w:ascii="宋体" w:hAnsi="宋体" w:cs="宋体"/>
          <w:b/>
          <w:bCs/>
          <w:spacing w:val="26"/>
          <w:sz w:val="84"/>
          <w:szCs w:val="84"/>
          <w:highlight w:val="none"/>
        </w:rPr>
      </w:pPr>
    </w:p>
    <w:p w14:paraId="4462EF38">
      <w:pPr>
        <w:pStyle w:val="8"/>
        <w:rPr>
          <w:rFonts w:hint="eastAsia"/>
          <w:highlight w:val="none"/>
          <w:lang w:eastAsia="zh-CN"/>
        </w:rPr>
      </w:pPr>
    </w:p>
    <w:p w14:paraId="792EAA13">
      <w:pPr>
        <w:spacing w:line="360" w:lineRule="auto"/>
        <w:jc w:val="center"/>
        <w:rPr>
          <w:rFonts w:hint="eastAsia" w:ascii="宋体" w:hAnsi="宋体" w:cs="宋体"/>
          <w:b/>
          <w:bCs/>
          <w:sz w:val="84"/>
          <w:szCs w:val="84"/>
          <w:highlight w:val="none"/>
        </w:rPr>
      </w:pPr>
      <w:r>
        <w:rPr>
          <w:rFonts w:hint="eastAsia" w:ascii="宋体" w:hAnsi="宋体" w:cs="宋体"/>
          <w:b/>
          <w:bCs/>
          <w:sz w:val="84"/>
          <w:szCs w:val="84"/>
          <w:highlight w:val="none"/>
        </w:rPr>
        <w:t>服务合同</w:t>
      </w:r>
    </w:p>
    <w:p w14:paraId="45091804">
      <w:pPr>
        <w:spacing w:line="360" w:lineRule="auto"/>
        <w:jc w:val="center"/>
        <w:rPr>
          <w:rFonts w:hint="eastAsia" w:ascii="宋体" w:hAnsi="宋体" w:cs="宋体"/>
          <w:b/>
          <w:bCs/>
          <w:spacing w:val="26"/>
          <w:sz w:val="36"/>
          <w:szCs w:val="36"/>
          <w:highlight w:val="none"/>
        </w:rPr>
      </w:pPr>
      <w:r>
        <w:rPr>
          <w:rFonts w:hint="eastAsia" w:ascii="宋体" w:hAnsi="宋体" w:cs="宋体"/>
          <w:b/>
          <w:bCs/>
          <w:sz w:val="32"/>
          <w:szCs w:val="32"/>
          <w:highlight w:val="none"/>
        </w:rPr>
        <w:t>项目编号：</w:t>
      </w:r>
      <w:r>
        <w:rPr>
          <w:rFonts w:hint="eastAsia" w:ascii="宋体" w:hAnsi="宋体" w:cs="宋体"/>
          <w:b/>
          <w:bCs/>
          <w:spacing w:val="26"/>
          <w:sz w:val="36"/>
          <w:szCs w:val="36"/>
          <w:highlight w:val="none"/>
        </w:rPr>
        <w:t xml:space="preserve"> </w:t>
      </w:r>
    </w:p>
    <w:p w14:paraId="2D935B6A">
      <w:pPr>
        <w:spacing w:line="360" w:lineRule="auto"/>
        <w:rPr>
          <w:rFonts w:hint="eastAsia" w:ascii="宋体" w:hAnsi="宋体" w:cs="宋体"/>
          <w:b/>
          <w:sz w:val="32"/>
          <w:szCs w:val="32"/>
          <w:highlight w:val="none"/>
        </w:rPr>
      </w:pPr>
    </w:p>
    <w:p w14:paraId="08373AE8">
      <w:pPr>
        <w:spacing w:line="360" w:lineRule="auto"/>
        <w:rPr>
          <w:rFonts w:hint="eastAsia" w:ascii="宋体" w:hAnsi="宋体" w:cs="宋体"/>
          <w:b/>
          <w:sz w:val="32"/>
          <w:szCs w:val="32"/>
          <w:highlight w:val="none"/>
        </w:rPr>
      </w:pPr>
    </w:p>
    <w:p w14:paraId="7CA695ED">
      <w:pPr>
        <w:spacing w:line="360" w:lineRule="auto"/>
        <w:rPr>
          <w:rFonts w:hint="eastAsia" w:ascii="宋体" w:hAnsi="宋体" w:cs="宋体"/>
          <w:b/>
          <w:sz w:val="32"/>
          <w:szCs w:val="32"/>
          <w:highlight w:val="none"/>
        </w:rPr>
      </w:pPr>
    </w:p>
    <w:p w14:paraId="7A0A686F">
      <w:pPr>
        <w:spacing w:line="360" w:lineRule="auto"/>
        <w:rPr>
          <w:rFonts w:hint="eastAsia" w:ascii="宋体" w:hAnsi="宋体" w:cs="宋体"/>
          <w:b/>
          <w:sz w:val="32"/>
          <w:szCs w:val="32"/>
          <w:highlight w:val="none"/>
        </w:rPr>
      </w:pPr>
    </w:p>
    <w:p w14:paraId="592799C2">
      <w:pPr>
        <w:pStyle w:val="8"/>
        <w:rPr>
          <w:rFonts w:hint="eastAsia"/>
          <w:highlight w:val="none"/>
          <w:lang w:eastAsia="zh-CN"/>
        </w:rPr>
      </w:pPr>
    </w:p>
    <w:p w14:paraId="0CA10D24">
      <w:pPr>
        <w:rPr>
          <w:rFonts w:hint="eastAsia"/>
          <w:highlight w:val="none"/>
        </w:rPr>
      </w:pPr>
    </w:p>
    <w:p w14:paraId="1948293F">
      <w:pPr>
        <w:spacing w:line="360" w:lineRule="auto"/>
        <w:rPr>
          <w:rFonts w:hint="eastAsia" w:ascii="宋体" w:hAnsi="宋体" w:cs="宋体"/>
          <w:b/>
          <w:sz w:val="32"/>
          <w:szCs w:val="32"/>
          <w:highlight w:val="none"/>
        </w:rPr>
      </w:pPr>
    </w:p>
    <w:p w14:paraId="47936824">
      <w:pPr>
        <w:spacing w:line="360" w:lineRule="auto"/>
        <w:ind w:firstLine="2711" w:firstLineChars="900"/>
        <w:rPr>
          <w:rFonts w:ascii="宋体" w:hAnsi="宋体" w:cs="宋体"/>
          <w:b/>
          <w:bCs/>
          <w:sz w:val="30"/>
          <w:szCs w:val="30"/>
          <w:highlight w:val="none"/>
          <w:u w:val="single"/>
        </w:rPr>
      </w:pPr>
      <w:r>
        <w:rPr>
          <w:rFonts w:hint="eastAsia" w:ascii="宋体" w:hAnsi="宋体" w:cs="宋体"/>
          <w:b/>
          <w:bCs/>
          <w:sz w:val="30"/>
          <w:szCs w:val="30"/>
          <w:highlight w:val="none"/>
        </w:rPr>
        <w:t>甲方：</w:t>
      </w:r>
      <w:r>
        <w:rPr>
          <w:rFonts w:hint="eastAsia" w:ascii="宋体" w:hAnsi="宋体" w:cs="宋体"/>
          <w:b/>
          <w:bCs/>
          <w:sz w:val="30"/>
          <w:szCs w:val="30"/>
          <w:highlight w:val="none"/>
          <w:u w:val="single"/>
        </w:rPr>
        <w:t xml:space="preserve">西安市第二社会福利院 </w:t>
      </w:r>
    </w:p>
    <w:p w14:paraId="0D67C690">
      <w:pPr>
        <w:spacing w:line="360" w:lineRule="auto"/>
        <w:ind w:firstLine="2711" w:firstLineChars="900"/>
        <w:rPr>
          <w:rFonts w:hint="default" w:ascii="宋体" w:hAnsi="宋体" w:cs="宋体"/>
          <w:b/>
          <w:bCs/>
          <w:sz w:val="30"/>
          <w:szCs w:val="30"/>
          <w:highlight w:val="none"/>
          <w:lang w:val="en-US"/>
        </w:rPr>
      </w:pPr>
      <w:r>
        <w:rPr>
          <w:rFonts w:hint="eastAsia" w:ascii="宋体" w:hAnsi="宋体" w:cs="宋体"/>
          <w:b/>
          <w:bCs/>
          <w:sz w:val="30"/>
          <w:szCs w:val="30"/>
          <w:highlight w:val="none"/>
        </w:rPr>
        <w:t>乙方：</w:t>
      </w:r>
      <w:r>
        <w:rPr>
          <w:rFonts w:hint="eastAsia" w:ascii="宋体" w:hAnsi="宋体" w:cs="宋体"/>
          <w:b/>
          <w:bCs/>
          <w:sz w:val="30"/>
          <w:szCs w:val="30"/>
          <w:highlight w:val="none"/>
          <w:u w:val="single"/>
        </w:rPr>
        <w:t xml:space="preserve">                  </w:t>
      </w:r>
      <w:r>
        <w:rPr>
          <w:rFonts w:hint="eastAsia" w:ascii="宋体" w:hAnsi="宋体" w:cs="宋体"/>
          <w:b/>
          <w:bCs/>
          <w:sz w:val="30"/>
          <w:szCs w:val="30"/>
          <w:highlight w:val="none"/>
          <w:u w:val="single"/>
          <w:lang w:val="en-US" w:eastAsia="zh-CN"/>
        </w:rPr>
        <w:t xml:space="preserve">   </w:t>
      </w:r>
    </w:p>
    <w:p w14:paraId="42D73C1B">
      <w:pPr>
        <w:ind w:firstLine="2825" w:firstLineChars="800"/>
        <w:rPr>
          <w:rFonts w:hint="eastAsia" w:ascii="宋体" w:hAnsi="宋体" w:cs="宋体"/>
          <w:highlight w:val="none"/>
        </w:rPr>
      </w:pPr>
      <w:r>
        <w:rPr>
          <w:rFonts w:hint="eastAsia" w:ascii="宋体" w:hAnsi="宋体" w:cs="宋体"/>
          <w:b/>
          <w:bCs/>
          <w:spacing w:val="26"/>
          <w:sz w:val="30"/>
          <w:szCs w:val="30"/>
          <w:highlight w:val="none"/>
        </w:rPr>
        <w:t>日期：</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年</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月</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日</w:t>
      </w:r>
    </w:p>
    <w:p w14:paraId="56E4FBD8">
      <w:pPr>
        <w:rPr>
          <w:rFonts w:hint="eastAsia" w:ascii="宋体" w:hAnsi="宋体" w:cs="宋体"/>
          <w:highlight w:val="none"/>
        </w:rPr>
      </w:pPr>
    </w:p>
    <w:p w14:paraId="2E5BCCE4">
      <w:pPr>
        <w:pStyle w:val="8"/>
        <w:ind w:firstLine="482" w:firstLineChars="200"/>
        <w:rPr>
          <w:rFonts w:hint="default" w:ascii="宋体" w:hAnsi="宋体" w:cs="宋体"/>
          <w:b/>
          <w:sz w:val="24"/>
          <w:highlight w:val="none"/>
          <w:lang w:val="en-US" w:eastAsia="zh-CN"/>
        </w:rPr>
      </w:pPr>
    </w:p>
    <w:p w14:paraId="2FC45953">
      <w:pPr>
        <w:rPr>
          <w:rFonts w:hint="eastAsia" w:ascii="宋体" w:hAnsi="宋体" w:cs="宋体"/>
          <w:b/>
          <w:sz w:val="24"/>
          <w:highlight w:val="none"/>
        </w:rPr>
      </w:pPr>
    </w:p>
    <w:p w14:paraId="51AE31AD">
      <w:pPr>
        <w:pStyle w:val="8"/>
        <w:rPr>
          <w:rFonts w:hint="eastAsia" w:ascii="宋体" w:hAnsi="宋体" w:cs="宋体"/>
          <w:b/>
          <w:sz w:val="24"/>
          <w:highlight w:val="none"/>
          <w:lang w:eastAsia="zh-CN"/>
        </w:rPr>
      </w:pPr>
    </w:p>
    <w:p w14:paraId="06724B26">
      <w:pPr>
        <w:adjustRightInd w:val="0"/>
        <w:snapToGrid w:val="0"/>
        <w:spacing w:line="360" w:lineRule="auto"/>
        <w:ind w:firstLine="480" w:firstLineChars="200"/>
        <w:rPr>
          <w:rFonts w:hint="eastAsia" w:ascii="宋体" w:hAnsi="宋体" w:cs="宋体"/>
          <w:b/>
          <w:sz w:val="24"/>
          <w:highlight w:val="none"/>
          <w:u w:val="single"/>
        </w:rPr>
      </w:pPr>
      <w:bookmarkStart w:id="0" w:name="_Toc1655"/>
      <w:r>
        <w:rPr>
          <w:rFonts w:hint="eastAsia" w:ascii="宋体" w:hAnsi="宋体" w:eastAsia="宋体" w:cs="宋体"/>
          <w:bCs/>
          <w:color w:val="000000"/>
          <w:sz w:val="24"/>
          <w:highlight w:val="none"/>
          <w:lang w:val="en-US" w:eastAsia="zh-CN"/>
        </w:rPr>
        <w:br w:type="page"/>
      </w:r>
      <w:r>
        <w:rPr>
          <w:rFonts w:hint="eastAsia" w:ascii="宋体" w:hAnsi="宋体" w:cs="宋体"/>
          <w:b/>
          <w:sz w:val="24"/>
          <w:highlight w:val="none"/>
        </w:rPr>
        <w:t xml:space="preserve">甲方: </w:t>
      </w:r>
      <w:r>
        <w:rPr>
          <w:rFonts w:hint="eastAsia" w:ascii="宋体" w:hAnsi="宋体" w:cs="宋体"/>
          <w:b/>
          <w:sz w:val="24"/>
          <w:highlight w:val="none"/>
          <w:u w:val="single"/>
          <w:lang w:eastAsia="zh-CN"/>
        </w:rPr>
        <w:t>西安市第二社会福利院</w:t>
      </w:r>
    </w:p>
    <w:p w14:paraId="1F7F8D44">
      <w:pPr>
        <w:adjustRightInd w:val="0"/>
        <w:snapToGrid w:val="0"/>
        <w:spacing w:line="360" w:lineRule="auto"/>
        <w:ind w:firstLine="482" w:firstLineChars="200"/>
        <w:rPr>
          <w:rFonts w:ascii="宋体" w:hAnsi="宋体" w:cs="宋体"/>
          <w:b/>
          <w:sz w:val="24"/>
          <w:highlight w:val="none"/>
          <w:u w:val="single"/>
        </w:rPr>
      </w:pPr>
      <w:r>
        <w:rPr>
          <w:rFonts w:hint="eastAsia" w:ascii="宋体" w:hAnsi="宋体" w:cs="宋体"/>
          <w:b/>
          <w:sz w:val="24"/>
          <w:highlight w:val="none"/>
        </w:rPr>
        <w:t>乙方：</w:t>
      </w:r>
      <w:r>
        <w:rPr>
          <w:rFonts w:hint="eastAsia" w:ascii="宋体" w:hAnsi="宋体" w:cs="宋体"/>
          <w:b/>
          <w:sz w:val="24"/>
          <w:highlight w:val="none"/>
          <w:u w:val="single"/>
        </w:rPr>
        <w:t xml:space="preserve">            </w:t>
      </w:r>
    </w:p>
    <w:p w14:paraId="585FA349">
      <w:pPr>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lang w:eastAsia="zh-CN"/>
        </w:rPr>
        <w:t>甲</w:t>
      </w:r>
      <w:r>
        <w:rPr>
          <w:rFonts w:hint="eastAsia" w:ascii="宋体" w:hAnsi="宋体" w:cs="宋体"/>
          <w:sz w:val="24"/>
          <w:highlight w:val="none"/>
        </w:rPr>
        <w:t>方通过</w:t>
      </w:r>
      <w:r>
        <w:rPr>
          <w:rFonts w:hint="eastAsia" w:ascii="宋体" w:hAnsi="宋体" w:cs="宋体"/>
          <w:sz w:val="24"/>
          <w:highlight w:val="none"/>
          <w:lang w:eastAsia="zh-CN"/>
        </w:rPr>
        <w:t>采购</w:t>
      </w:r>
      <w:r>
        <w:rPr>
          <w:rFonts w:hint="eastAsia" w:ascii="宋体" w:hAnsi="宋体" w:cs="宋体"/>
          <w:sz w:val="24"/>
          <w:highlight w:val="none"/>
        </w:rPr>
        <w:t>确认乙方为西安市第二社会福利院</w:t>
      </w:r>
      <w:r>
        <w:rPr>
          <w:rFonts w:hint="eastAsia" w:ascii="宋体" w:hAnsi="宋体" w:cs="宋体"/>
          <w:sz w:val="24"/>
          <w:highlight w:val="none"/>
          <w:lang w:eastAsia="zh-CN"/>
        </w:rPr>
        <w:t>重度残疾人康复训练项目</w:t>
      </w:r>
      <w:r>
        <w:rPr>
          <w:rFonts w:hint="eastAsia" w:ascii="宋体" w:hAnsi="宋体" w:cs="宋体"/>
          <w:sz w:val="24"/>
          <w:highlight w:val="none"/>
        </w:rPr>
        <w:t>供应商。经双方充分、友好协商，签立本协议书，以资共同遵守。</w:t>
      </w:r>
    </w:p>
    <w:bookmarkEnd w:id="0"/>
    <w:p w14:paraId="609F6309">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一、服务内容</w:t>
      </w:r>
    </w:p>
    <w:p w14:paraId="2BB7C04B">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（一）康复训练服务</w:t>
      </w:r>
    </w:p>
    <w:p w14:paraId="1BC4D9D2">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生活技能康复训练：根据托养人员的实际能力和生活需求，开展生活技能康复训练，如烹饪、洗衣、购物、整理家务等。通过模拟真实生活场景，让托养人员在实践中掌握生活技能，提高独立生活能力，为其回归社会奠定基础。</w:t>
      </w:r>
    </w:p>
    <w:p w14:paraId="3CEBD0F0">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职业技能康复训练：根据托养人员的兴趣爱好和市场需求，开展适当的职业技能康复训练，如手工制作、园艺种植、简单的机械操作等。通过训练，让托养人员掌握一定的职业技能，提高其社交能力和人际交往水平，帮助其融入集体生活。</w:t>
      </w:r>
    </w:p>
    <w:p w14:paraId="3A5BD282">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（二）心理关怀服务</w:t>
      </w:r>
    </w:p>
    <w:p w14:paraId="1E720B86">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心理咨询与辅导：定期为托养人员提供心理咨询与辅导服务，采用一对一或小组辅导的方式，帮助托养人员解决心理问题，缓解焦虑、抑郁、孤独等不良情绪。心理咨询师应尊重托养人员的隐私，保护其个人信息，与托养人员建立良好的信任关系，引导其树立积极乐观的生活态度。</w:t>
      </w:r>
    </w:p>
    <w:p w14:paraId="7919F719">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2.情绪疏导：密切关注托养人员的情绪变化，当发现托养人员出现情绪波动时，及时进行情绪疏导。通过倾听、安慰、鼓励等方式，帮助托养人员释放不良情绪，缓解心理压力。</w:t>
      </w:r>
    </w:p>
    <w:p w14:paraId="3452C12D">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（三）医疗健康服务</w:t>
      </w:r>
    </w:p>
    <w:p w14:paraId="55FF79FA">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健康监测：每日定时为托养人员测量体温，每周测不低于一次脉搏、血压等基础生命体征，做好记录并建立个人健康档案。及时掌握托养人员的身体状况变化，发现异常情况及时通知福利院相关人员并采取相应的医疗措施。</w:t>
      </w:r>
    </w:p>
    <w:p w14:paraId="100C01DE">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2.急救处理：托养中心配备专业的急救设备和药品，如氧气瓶、急救箱等，并安排经过专业培训的医护人员或急救人员 24 小时值班。当托养人员发生突发疾病或意外事故时，能够在第一时间进行急救处理，并及时联系 120 急救中心或送往指定医院进行进一步治疗，同时通知福利院相关人员。</w:t>
      </w:r>
    </w:p>
    <w:p w14:paraId="26553789">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（四）餐饮服务</w:t>
      </w:r>
    </w:p>
    <w:p w14:paraId="6A81971D">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个性化膳食定制：针对托养人员的身体疾病（如糖尿病、高血压、吞咽功能障碍等）、饮食禁忌（如过敏食材、宗教饮食习俗），联合专业营养师制定专属膳食方案。定期收集托养人员对膳食的意见，每季度根据托养人员身体状况变化（如病情加重、康复进展）调整膳食方案，确保膳食适配性持续优化。</w:t>
      </w:r>
    </w:p>
    <w:p w14:paraId="41808122">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膳食制作与供应：每日三餐采用分餐制供应，根据托养人员的进食能力提供协助服务：对能自主进食者，将餐食摆放至方便取用的位置；对进食困难者，由专人喂食，喂食时控制速度，避免呛咳、噎食，必要时使用特殊餐具（如防滑碗、吸管杯），特殊时段（如节日、托养人员生日）提供定制餐食，例如春节准备饺子、元宵节供应汤圆，生日当天提供专属蛋糕（需根据健康状况调整糖分和食材），增强托养人员的归属感。</w:t>
      </w:r>
    </w:p>
    <w:p w14:paraId="6BBFA652">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（五）日常照料服务</w:t>
      </w:r>
    </w:p>
    <w:p w14:paraId="16A33968">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1.生活起居照料：根据托养人员的生活习惯和身体状况，提供 24 小时全方位照料。包括协助起床、穿衣、洗漱、如厕等基础生活行为，每日定时整理房间，保持居住环境整洁、通风，定期更换床单、被套等床上用品，确保居住环境舒适卫生。</w:t>
      </w:r>
    </w:p>
    <w:p w14:paraId="3457CE08">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个人卫生照料：定期为托养人员洗澡、理发、修剪指甲，保持个人卫生清洁。根据季节变化和个人需求，合理安排洗澡频率，洗澡时确保环境安全，配备防滑设施，并有专人全程陪护，防止意外摔倒。同时，每日检查托养人员的个人卫生状况，及时发现并处理卫生问题。</w:t>
      </w:r>
    </w:p>
    <w:p w14:paraId="2E132068">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二、服务标准</w:t>
      </w:r>
    </w:p>
    <w:p w14:paraId="608C1444">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（一）康复训练服务标准</w:t>
      </w:r>
    </w:p>
    <w:p w14:paraId="645462FE">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生活技能康复训练标准：根据托养人员的能力水平制定个性化的训练计划，训练计划具有针对性和可操作性；每周开展生活技能康复训练；训练过程中，有专业的康复训练师进行指导，确保托养人员正确掌握生活技能。</w:t>
      </w:r>
    </w:p>
    <w:p w14:paraId="4CAB086B">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职业技能康复训练标准：职业技能训练项目符合托养人员的身体状况和兴趣爱好，具有一定的实用性和可持续性；训练过程中，提供必要的训练设备和材料，有专业的职业技能培训师进行指导；每月开展职业技能康复训练不少于 8 次。在活动中，有专人引导托养人员参与交流和互动，帮助托养人员建立良好的人际关系；</w:t>
      </w:r>
    </w:p>
    <w:p w14:paraId="19B82C14">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（二）心理关怀服务标准</w:t>
      </w:r>
    </w:p>
    <w:p w14:paraId="5CE87086">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心理咨询与辅导标准：心理咨询师具备国家认可的心理咨询师职业资格证书，具有丰富的心理咨询经验；心理咨询过程严格遵守保密原则，保护托养人员的隐私；经过心理咨询与辅导，托养人员的不良情绪得到有效缓解，心理状态明显改善。</w:t>
      </w:r>
    </w:p>
    <w:p w14:paraId="4BEE2569">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2.情绪疏导标准：工作人员密切关注托养人员的情绪变化，当发现托养人员出现情绪异常时，在 30 分钟内进行情绪疏导；情绪疏导采用科学、有效的方法，如倾听、共情、引导等，帮助托养人员释放不良情绪，能够积极面对生活。</w:t>
      </w:r>
    </w:p>
    <w:p w14:paraId="0DC71168">
      <w:pPr>
        <w:snapToGrid w:val="0"/>
        <w:spacing w:line="360" w:lineRule="auto"/>
        <w:ind w:firstLine="480" w:firstLineChars="200"/>
        <w:rPr>
          <w:rFonts w:hint="eastAsia" w:ascii="宋体" w:hAnsi="宋体" w:eastAsia="宋体" w:cs="宋体"/>
          <w:bCs/>
          <w:color w:val="000000"/>
          <w:sz w:val="24"/>
          <w:highlight w:val="none"/>
          <w:lang w:val="en-US" w:eastAsia="zh-CN"/>
        </w:rPr>
      </w:pPr>
    </w:p>
    <w:p w14:paraId="54DFB267">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（三）医疗健康服务标准</w:t>
      </w:r>
    </w:p>
    <w:p w14:paraId="02C23134">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1.健康监测标准：每日早晨 8 点前、下午 6 点前各测量 1 次体温，每月对托养人员进行 1 次脉搏、血压、体重测量，结果记录在个人健康档案中；发现托养人员生命体征异常或身体不适时，立即报告医护人员并采取相应措施。</w:t>
      </w:r>
    </w:p>
    <w:p w14:paraId="524B6BE0">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急救处理标准：急救设备和药品齐全、完好，定期进行检查和维护，确保随时可用；急救人员具备专业的急救知识和技能，按照急救流程开展急救工作；在急救过程中，及时与福利院相关人员和医院沟通，确保信息传递准确、及时；急救成功率达到 80% 以上。</w:t>
      </w:r>
    </w:p>
    <w:p w14:paraId="7AAA4206">
      <w:pPr>
        <w:snapToGrid w:val="0"/>
        <w:spacing w:line="360" w:lineRule="auto"/>
        <w:ind w:firstLine="480" w:firstLineChars="200"/>
        <w:rPr>
          <w:rFonts w:hint="eastAsia" w:ascii="宋体" w:hAnsi="宋体" w:eastAsia="宋体" w:cs="宋体"/>
          <w:bCs/>
          <w:color w:val="000000"/>
          <w:sz w:val="24"/>
          <w:highlight w:val="none"/>
          <w:lang w:val="en-US" w:eastAsia="zh-CN"/>
        </w:rPr>
      </w:pPr>
    </w:p>
    <w:p w14:paraId="72F44427">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（四）餐饮服务标准</w:t>
      </w:r>
    </w:p>
    <w:p w14:paraId="3B24083F">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1.膳食营养标准：每日膳食能量供应符合托养人员年龄、身体活动水平及健康状况需求，成人每日能量供应控制在 1800-2200 千卡，其中蛋白质占比 15%-20%（以优质蛋白为主，如鱼、禽、蛋、奶、豆制品），脂肪占比 20%-30%（以不饱和脂肪酸为主，减少动物脂肪摄入），碳水化合物占比 50%-60%（优先选择全谷物、薯类等复合碳水化合物）。膳食中蔬菜摄入量不少于 300 克（深色蔬菜占比 50% 以上），保证维生素、矿物质和膳食纤维的充足摄入；盐摄入量每人每日不超过 5 克，油脂摄入量每人每日不超过 25 克，减少高盐、高油、高糖食物。</w:t>
      </w:r>
    </w:p>
    <w:p w14:paraId="51CEFBC5">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膳食安全标准：食材采购无过期、变质、假冒伪劣食材；食材存储过程中无腐烂、霉变情况，食材保质期管理规范，建立食品安全追溯体系，记录食材采购信息（供应商名称、采购日期、食材名称、数量）、留样记录（每批次留样冷藏存放 48 小时以上，记录留样日期、留样人），确保出现食品安全问题时可追溯。</w:t>
      </w:r>
    </w:p>
    <w:p w14:paraId="401ACA05">
      <w:pPr>
        <w:snapToGrid w:val="0"/>
        <w:spacing w:line="360" w:lineRule="auto"/>
        <w:ind w:firstLine="480" w:firstLineChars="200"/>
        <w:rPr>
          <w:rFonts w:hint="eastAsia" w:ascii="宋体" w:hAnsi="宋体" w:eastAsia="宋体" w:cs="宋体"/>
          <w:bCs/>
          <w:color w:val="000000"/>
          <w:sz w:val="24"/>
          <w:highlight w:val="none"/>
          <w:lang w:val="en-US" w:eastAsia="zh-CN"/>
        </w:rPr>
      </w:pPr>
    </w:p>
    <w:p w14:paraId="31D7FAB0">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（五）日常照料服务标准</w:t>
      </w:r>
    </w:p>
    <w:p w14:paraId="2E99FC06">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1.生活起居照料标准：居住房间温度保持在 18-24℃，湿度保持在 40%-60%；每日至少开窗通风 2 次，每次通风时间不少于 30 分钟；房间内物品摆放整齐，无杂物堆积；床单、被套等床上用品每15天更换 1 次，如有污渍或异味及时更换；托养人员个人衣物每周至少清洗1次，确保干净整洁。</w:t>
      </w:r>
    </w:p>
    <w:p w14:paraId="0363F4C7">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2.个人卫生照料标准：托养人员每周洗澡不少于 2 次，夏季可适当增加洗澡次数；头发每月修剪 1 次，指甲每周修剪 1 次，确保整洁卫生；口腔护理每日 2 次，早晚各 1 次，帮助托养人员刷牙或使用漱口液漱口，保持口腔清洁。</w:t>
      </w:r>
    </w:p>
    <w:p w14:paraId="2F4D493B">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三、服务</w:t>
      </w:r>
      <w:r>
        <w:rPr>
          <w:rFonts w:hint="eastAsia" w:ascii="宋体" w:hAnsi="宋体" w:eastAsia="宋体" w:cs="宋体"/>
          <w:bCs/>
          <w:color w:val="000000"/>
          <w:sz w:val="24"/>
          <w:highlight w:val="none"/>
        </w:rPr>
        <w:t>人员</w:t>
      </w:r>
      <w:r>
        <w:rPr>
          <w:rFonts w:hint="eastAsia" w:ascii="宋体" w:hAnsi="宋体" w:eastAsia="宋体" w:cs="宋体"/>
          <w:bCs/>
          <w:color w:val="000000"/>
          <w:sz w:val="24"/>
          <w:highlight w:val="none"/>
          <w:lang w:val="en-US" w:eastAsia="zh-CN"/>
        </w:rPr>
        <w:t>资质</w:t>
      </w:r>
      <w:r>
        <w:rPr>
          <w:rFonts w:hint="eastAsia" w:ascii="宋体" w:hAnsi="宋体" w:eastAsia="宋体" w:cs="宋体"/>
          <w:bCs/>
          <w:color w:val="000000"/>
          <w:sz w:val="24"/>
          <w:highlight w:val="none"/>
        </w:rPr>
        <w:t>要求</w:t>
      </w:r>
    </w:p>
    <w:p w14:paraId="1C1C800B">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1.资格要求：所有陪护人员需持护士资格证、养老护理员证或其他相关专业资格证书，具备相应的专业知识和技能。</w:t>
      </w:r>
    </w:p>
    <w:p w14:paraId="3BA9CD34">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2.经验要求：具有一年以上的陪护服务工作经验，熟悉各类休养人员的护理需求和特点，能独立应对常见突发情况。</w:t>
      </w:r>
    </w:p>
    <w:p w14:paraId="40A88ACD">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3.素质要求：热爱护理工作，具备良好的职业道德和责任心，身体健康，确保无传染性疾病。</w:t>
      </w:r>
    </w:p>
    <w:p w14:paraId="7F0695B6">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四、服务质量要求</w:t>
      </w:r>
    </w:p>
    <w:p w14:paraId="1DEB7D92">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1.接到服务需求后，一小时内要到达服务地点。</w:t>
      </w:r>
    </w:p>
    <w:p w14:paraId="0A7AABBE">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2.护理记录：每天详细记录休养人员的护理情况，包括饮食、睡眠、病情变化、护理措施等。</w:t>
      </w:r>
    </w:p>
    <w:p w14:paraId="1D7B8E01">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3.</w:t>
      </w:r>
      <w:r>
        <w:rPr>
          <w:rFonts w:hint="eastAsia" w:ascii="宋体" w:hAnsi="宋体" w:eastAsia="宋体" w:cs="宋体"/>
          <w:bCs/>
          <w:color w:val="000000"/>
          <w:sz w:val="24"/>
          <w:highlight w:val="none"/>
          <w:lang w:eastAsia="zh-CN"/>
        </w:rPr>
        <w:t>要有</w:t>
      </w:r>
      <w:r>
        <w:rPr>
          <w:rFonts w:hint="eastAsia" w:ascii="宋体" w:hAnsi="宋体" w:eastAsia="宋体" w:cs="宋体"/>
          <w:bCs/>
          <w:color w:val="000000"/>
          <w:sz w:val="24"/>
          <w:highlight w:val="none"/>
        </w:rPr>
        <w:t>完善的管理制度和考核体系</w:t>
      </w:r>
      <w:r>
        <w:rPr>
          <w:rFonts w:hint="eastAsia" w:ascii="宋体" w:hAnsi="宋体" w:eastAsia="宋体" w:cs="宋体"/>
          <w:bCs/>
          <w:color w:val="000000"/>
          <w:sz w:val="24"/>
          <w:highlight w:val="none"/>
          <w:lang w:val="en-US" w:eastAsia="zh-CN"/>
        </w:rPr>
        <w:t>及</w:t>
      </w:r>
      <w:r>
        <w:rPr>
          <w:rFonts w:hint="eastAsia" w:ascii="宋体" w:hAnsi="宋体" w:eastAsia="宋体" w:cs="宋体"/>
          <w:bCs/>
          <w:color w:val="000000"/>
          <w:sz w:val="24"/>
          <w:highlight w:val="none"/>
        </w:rPr>
        <w:t>突发事件应急预案和处置机制。</w:t>
      </w:r>
    </w:p>
    <w:p w14:paraId="158A1BA6">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4.针对每一位</w:t>
      </w:r>
      <w:r>
        <w:rPr>
          <w:rFonts w:hint="eastAsia" w:ascii="宋体" w:hAnsi="宋体" w:cs="宋体"/>
          <w:bCs/>
          <w:color w:val="000000"/>
          <w:sz w:val="24"/>
          <w:highlight w:val="none"/>
          <w:lang w:val="en-US" w:eastAsia="zh-CN"/>
        </w:rPr>
        <w:t>康复</w:t>
      </w:r>
      <w:r>
        <w:rPr>
          <w:rFonts w:hint="eastAsia" w:ascii="宋体" w:hAnsi="宋体" w:eastAsia="宋体" w:cs="宋体"/>
          <w:bCs/>
          <w:color w:val="000000"/>
          <w:sz w:val="24"/>
          <w:highlight w:val="none"/>
          <w:lang w:val="en-US" w:eastAsia="zh-CN"/>
        </w:rPr>
        <w:t>人员制定合理的服务方案。</w:t>
      </w:r>
    </w:p>
    <w:p w14:paraId="379224DA">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5.重度残疾人康复训练，</w:t>
      </w:r>
      <w:r>
        <w:rPr>
          <w:rFonts w:hint="eastAsia" w:ascii="宋体" w:hAnsi="宋体" w:cs="宋体"/>
          <w:bCs/>
          <w:color w:val="000000"/>
          <w:sz w:val="24"/>
          <w:highlight w:val="none"/>
          <w:lang w:val="en-US" w:eastAsia="zh-CN"/>
        </w:rPr>
        <w:t>按人按月固定单价，据实结算</w:t>
      </w:r>
      <w:r>
        <w:rPr>
          <w:rFonts w:hint="eastAsia" w:ascii="宋体" w:hAnsi="宋体" w:eastAsia="宋体" w:cs="宋体"/>
          <w:bCs/>
          <w:color w:val="000000"/>
          <w:sz w:val="24"/>
          <w:highlight w:val="none"/>
          <w:lang w:val="en-US" w:eastAsia="zh-CN"/>
        </w:rPr>
        <w:t>。</w:t>
      </w:r>
    </w:p>
    <w:p w14:paraId="71B1CD2A">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五</w:t>
      </w:r>
      <w:r>
        <w:rPr>
          <w:rFonts w:hint="eastAsia" w:ascii="宋体" w:hAnsi="宋体" w:eastAsia="宋体" w:cs="宋体"/>
          <w:bCs/>
          <w:color w:val="000000"/>
          <w:sz w:val="24"/>
          <w:highlight w:val="none"/>
        </w:rPr>
        <w:t>、服务细节流程</w:t>
      </w:r>
    </w:p>
    <w:p w14:paraId="63E9AB4F">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eastAsia="zh-CN"/>
        </w:rPr>
        <w:t>乙方陪护人员需</w:t>
      </w:r>
      <w:r>
        <w:rPr>
          <w:rFonts w:hint="eastAsia" w:ascii="宋体" w:hAnsi="宋体" w:eastAsia="宋体" w:cs="宋体"/>
          <w:bCs/>
          <w:color w:val="000000"/>
          <w:sz w:val="24"/>
          <w:highlight w:val="none"/>
        </w:rPr>
        <w:t>建立详细的工作记录表格，记录内容包括</w:t>
      </w:r>
      <w:r>
        <w:rPr>
          <w:rFonts w:hint="eastAsia" w:ascii="宋体" w:hAnsi="宋体" w:eastAsia="宋体" w:cs="宋体"/>
          <w:bCs/>
          <w:color w:val="000000"/>
          <w:sz w:val="24"/>
          <w:highlight w:val="none"/>
          <w:lang w:eastAsia="zh-CN"/>
        </w:rPr>
        <w:t>甲方</w:t>
      </w:r>
      <w:r>
        <w:rPr>
          <w:rFonts w:hint="eastAsia" w:ascii="宋体" w:hAnsi="宋体" w:cs="宋体"/>
          <w:bCs/>
          <w:color w:val="000000"/>
          <w:sz w:val="24"/>
          <w:highlight w:val="none"/>
          <w:lang w:val="en-US" w:eastAsia="zh-CN"/>
        </w:rPr>
        <w:t>重度残疾</w:t>
      </w:r>
      <w:bookmarkStart w:id="5" w:name="_GoBack"/>
      <w:bookmarkEnd w:id="5"/>
      <w:r>
        <w:rPr>
          <w:rFonts w:hint="eastAsia" w:ascii="宋体" w:hAnsi="宋体" w:eastAsia="宋体" w:cs="宋体"/>
          <w:bCs/>
          <w:color w:val="000000"/>
          <w:sz w:val="24"/>
          <w:highlight w:val="none"/>
          <w:lang w:eastAsia="zh-CN"/>
        </w:rPr>
        <w:t>人员</w:t>
      </w:r>
      <w:r>
        <w:rPr>
          <w:rFonts w:hint="eastAsia" w:ascii="宋体" w:hAnsi="宋体" w:eastAsia="宋体" w:cs="宋体"/>
          <w:bCs/>
          <w:color w:val="000000"/>
          <w:sz w:val="24"/>
          <w:highlight w:val="none"/>
        </w:rPr>
        <w:t>的基本信息、病情变化、饮食情况（每餐的食物种类、进食量）、活动情况（活动内容、时间、强度）、服药情况（药物名称、剂量、时间）、身体清洁情况（清洁时间、皮肤状况）、睡眠情况（入睡时间、醒来次数、睡眠质量）以及与医护人员、家属的沟通情况等。每次完成一项工作任务后，</w:t>
      </w:r>
      <w:r>
        <w:rPr>
          <w:rFonts w:hint="eastAsia" w:ascii="宋体" w:hAnsi="宋体" w:eastAsia="宋体" w:cs="宋体"/>
          <w:bCs/>
          <w:color w:val="000000"/>
          <w:sz w:val="24"/>
          <w:highlight w:val="none"/>
          <w:lang w:eastAsia="zh-CN"/>
        </w:rPr>
        <w:t>乙方陪护人员要</w:t>
      </w:r>
      <w:r>
        <w:rPr>
          <w:rFonts w:hint="eastAsia" w:ascii="宋体" w:hAnsi="宋体" w:eastAsia="宋体" w:cs="宋体"/>
          <w:bCs/>
          <w:color w:val="000000"/>
          <w:sz w:val="24"/>
          <w:highlight w:val="none"/>
        </w:rPr>
        <w:t>及时在记录表格中进行填写，确保记录的准确性和及时性。对于异常情况，如病情加重、情绪波动等，详细记录发生时间、表现和处理措施</w:t>
      </w:r>
      <w:r>
        <w:rPr>
          <w:rFonts w:hint="eastAsia" w:ascii="宋体" w:hAnsi="宋体" w:eastAsia="宋体" w:cs="宋体"/>
          <w:bCs/>
          <w:color w:val="000000"/>
          <w:sz w:val="24"/>
          <w:highlight w:val="none"/>
          <w:lang w:eastAsia="zh-CN"/>
        </w:rPr>
        <w:t>。</w:t>
      </w:r>
      <w:r>
        <w:rPr>
          <w:rFonts w:hint="eastAsia" w:ascii="宋体" w:hAnsi="宋体" w:eastAsia="宋体" w:cs="宋体"/>
          <w:bCs/>
          <w:color w:val="000000"/>
          <w:sz w:val="24"/>
          <w:highlight w:val="none"/>
        </w:rPr>
        <w:t>每天下班前，</w:t>
      </w:r>
      <w:r>
        <w:rPr>
          <w:rFonts w:hint="eastAsia" w:ascii="宋体" w:hAnsi="宋体" w:eastAsia="宋体" w:cs="宋体"/>
          <w:bCs/>
          <w:color w:val="000000"/>
          <w:sz w:val="24"/>
          <w:highlight w:val="none"/>
          <w:lang w:eastAsia="zh-CN"/>
        </w:rPr>
        <w:t>乙方陪护人员</w:t>
      </w:r>
      <w:r>
        <w:rPr>
          <w:rFonts w:hint="eastAsia" w:ascii="宋体" w:hAnsi="宋体" w:eastAsia="宋体" w:cs="宋体"/>
          <w:bCs/>
          <w:color w:val="000000"/>
          <w:sz w:val="24"/>
          <w:highlight w:val="none"/>
        </w:rPr>
        <w:t>对当天的工作记录进行整理和总结，确保服务的连续性。</w:t>
      </w:r>
    </w:p>
    <w:p w14:paraId="59306420">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六、合同价款</w:t>
      </w:r>
    </w:p>
    <w:p w14:paraId="1E7940DC">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cs="宋体"/>
          <w:bCs/>
          <w:color w:val="000000"/>
          <w:sz w:val="24"/>
          <w:highlight w:val="none"/>
          <w:lang w:val="en-US" w:eastAsia="zh-CN"/>
        </w:rPr>
        <w:t>合同总价45万元</w:t>
      </w:r>
      <w:r>
        <w:rPr>
          <w:rFonts w:hint="eastAsia" w:ascii="宋体" w:hAnsi="宋体" w:eastAsia="宋体" w:cs="宋体"/>
          <w:bCs/>
          <w:color w:val="000000"/>
          <w:sz w:val="24"/>
          <w:highlight w:val="none"/>
          <w:lang w:eastAsia="zh-CN"/>
        </w:rPr>
        <w:t>，</w:t>
      </w:r>
      <w:r>
        <w:rPr>
          <w:rFonts w:hint="eastAsia" w:ascii="宋体" w:hAnsi="宋体" w:cs="宋体"/>
          <w:bCs/>
          <w:color w:val="000000"/>
          <w:sz w:val="24"/>
          <w:highlight w:val="none"/>
          <w:lang w:val="en-US" w:eastAsia="zh-CN"/>
        </w:rPr>
        <w:t>单价为</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lang w:eastAsia="zh-CN"/>
        </w:rPr>
        <w:t>元/(人·</w:t>
      </w:r>
      <w:r>
        <w:rPr>
          <w:rFonts w:hint="eastAsia" w:ascii="宋体" w:hAnsi="宋体" w:cs="宋体"/>
          <w:bCs/>
          <w:color w:val="000000"/>
          <w:sz w:val="24"/>
          <w:highlight w:val="none"/>
          <w:lang w:val="en-US" w:eastAsia="zh-CN"/>
        </w:rPr>
        <w:t>月</w:t>
      </w:r>
      <w:r>
        <w:rPr>
          <w:rFonts w:hint="eastAsia" w:ascii="宋体" w:hAnsi="宋体" w:eastAsia="宋体" w:cs="宋体"/>
          <w:bCs/>
          <w:color w:val="000000"/>
          <w:sz w:val="24"/>
          <w:highlight w:val="none"/>
          <w:lang w:eastAsia="zh-CN"/>
        </w:rPr>
        <w:t>）</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lang w:val="en-US" w:eastAsia="zh-CN"/>
        </w:rPr>
        <w:t>据实结算，合同总价不超过45万元。</w:t>
      </w:r>
    </w:p>
    <w:p w14:paraId="6334D8D3">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七、付款方式</w:t>
      </w:r>
    </w:p>
    <w:p w14:paraId="1D569468">
      <w:pPr>
        <w:snapToGrid w:val="0"/>
        <w:spacing w:line="360" w:lineRule="auto"/>
        <w:ind w:firstLine="480" w:firstLineChars="200"/>
        <w:rPr>
          <w:rFonts w:hint="eastAsia" w:ascii="宋体" w:hAnsi="宋体" w:cs="宋体"/>
          <w:bCs/>
          <w:color w:val="000000"/>
          <w:sz w:val="24"/>
          <w:highlight w:val="none"/>
          <w:lang w:eastAsia="zh-CN"/>
        </w:rPr>
      </w:pPr>
      <w:r>
        <w:rPr>
          <w:rFonts w:hint="eastAsia" w:ascii="宋体" w:hAnsi="宋体" w:cs="宋体"/>
          <w:bCs/>
          <w:color w:val="000000"/>
          <w:sz w:val="24"/>
          <w:highlight w:val="none"/>
          <w:lang w:val="en-US" w:eastAsia="zh-CN"/>
        </w:rPr>
        <w:t>1.</w:t>
      </w:r>
      <w:r>
        <w:rPr>
          <w:rFonts w:hint="eastAsia" w:ascii="宋体" w:hAnsi="宋体" w:cs="宋体"/>
          <w:bCs/>
          <w:color w:val="000000"/>
          <w:sz w:val="24"/>
          <w:highlight w:val="none"/>
          <w:lang w:eastAsia="zh-CN"/>
        </w:rPr>
        <w:t>按月支付，以当</w:t>
      </w:r>
      <w:r>
        <w:rPr>
          <w:rFonts w:hint="eastAsia" w:ascii="宋体" w:hAnsi="宋体" w:cs="宋体"/>
          <w:bCs/>
          <w:color w:val="000000"/>
          <w:sz w:val="24"/>
          <w:highlight w:val="none"/>
          <w:lang w:val="en-US" w:eastAsia="zh-CN"/>
        </w:rPr>
        <w:t>服务人数及服务时长</w:t>
      </w:r>
      <w:r>
        <w:rPr>
          <w:rFonts w:hint="eastAsia" w:ascii="宋体" w:hAnsi="宋体" w:cs="宋体"/>
          <w:bCs/>
          <w:color w:val="000000"/>
          <w:sz w:val="24"/>
          <w:highlight w:val="none"/>
          <w:lang w:eastAsia="zh-CN"/>
        </w:rPr>
        <w:t>，据实结算。</w:t>
      </w:r>
    </w:p>
    <w:p w14:paraId="464B2D54">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cs="宋体"/>
          <w:bCs/>
          <w:color w:val="000000"/>
          <w:sz w:val="24"/>
          <w:highlight w:val="none"/>
          <w:lang w:val="en-US" w:eastAsia="zh-CN"/>
        </w:rPr>
        <w:t>2.</w:t>
      </w:r>
      <w:r>
        <w:rPr>
          <w:rFonts w:hint="eastAsia" w:ascii="宋体" w:hAnsi="宋体" w:eastAsia="宋体" w:cs="宋体"/>
          <w:bCs/>
          <w:color w:val="000000"/>
          <w:sz w:val="24"/>
          <w:highlight w:val="none"/>
          <w:lang w:eastAsia="zh-CN"/>
        </w:rPr>
        <w:t>经甲方核对无误后，</w:t>
      </w:r>
      <w:r>
        <w:rPr>
          <w:rFonts w:hint="eastAsia" w:ascii="宋体" w:hAnsi="宋体" w:eastAsia="宋体" w:cs="宋体"/>
          <w:bCs/>
          <w:color w:val="000000"/>
          <w:sz w:val="24"/>
          <w:highlight w:val="none"/>
        </w:rPr>
        <w:t>年度末结清所有费用。</w:t>
      </w:r>
    </w:p>
    <w:p w14:paraId="45802B86">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cs="宋体"/>
          <w:bCs/>
          <w:color w:val="000000"/>
          <w:sz w:val="24"/>
          <w:highlight w:val="none"/>
          <w:lang w:val="en-US" w:eastAsia="zh-CN"/>
        </w:rPr>
        <w:t>3.</w:t>
      </w:r>
      <w:r>
        <w:rPr>
          <w:rFonts w:hint="eastAsia" w:ascii="宋体" w:hAnsi="宋体" w:eastAsia="宋体" w:cs="宋体"/>
          <w:bCs/>
          <w:color w:val="000000"/>
          <w:sz w:val="24"/>
          <w:highlight w:val="none"/>
        </w:rPr>
        <w:t>最终结算金额不超过本项目采购预算。</w:t>
      </w:r>
    </w:p>
    <w:p w14:paraId="06C147E4">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八、服务期：</w:t>
      </w:r>
      <w:r>
        <w:rPr>
          <w:rFonts w:hint="eastAsia" w:ascii="宋体" w:hAnsi="宋体" w:cs="宋体"/>
          <w:bCs/>
          <w:color w:val="000000"/>
          <w:sz w:val="24"/>
          <w:highlight w:val="none"/>
          <w:lang w:val="en-US" w:eastAsia="zh-CN"/>
        </w:rPr>
        <w:t>1年</w:t>
      </w:r>
      <w:r>
        <w:rPr>
          <w:rFonts w:hint="eastAsia" w:ascii="宋体" w:hAnsi="宋体" w:eastAsia="宋体" w:cs="宋体"/>
          <w:bCs/>
          <w:color w:val="000000"/>
          <w:sz w:val="24"/>
          <w:highlight w:val="none"/>
          <w:lang w:val="en-US" w:eastAsia="zh-CN"/>
        </w:rPr>
        <w:t>。</w:t>
      </w:r>
    </w:p>
    <w:p w14:paraId="51FA1299">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九、</w:t>
      </w:r>
      <w:bookmarkStart w:id="1" w:name="_Toc4588"/>
      <w:r>
        <w:rPr>
          <w:rFonts w:hint="eastAsia" w:ascii="宋体" w:hAnsi="宋体" w:eastAsia="宋体" w:cs="宋体"/>
          <w:bCs/>
          <w:color w:val="000000"/>
          <w:sz w:val="24"/>
          <w:highlight w:val="none"/>
          <w:lang w:val="en-US" w:eastAsia="zh-CN"/>
        </w:rPr>
        <w:t>服务标准：</w:t>
      </w:r>
      <w:bookmarkEnd w:id="1"/>
      <w:r>
        <w:rPr>
          <w:rFonts w:hint="eastAsia" w:ascii="宋体" w:hAnsi="宋体" w:eastAsia="宋体" w:cs="宋体"/>
          <w:bCs/>
          <w:color w:val="000000"/>
          <w:sz w:val="24"/>
          <w:highlight w:val="none"/>
          <w:lang w:val="en-US" w:eastAsia="zh-CN"/>
        </w:rPr>
        <w:t>符合采购人服务要求。</w:t>
      </w:r>
    </w:p>
    <w:p w14:paraId="4BA7DC2C">
      <w:pPr>
        <w:snapToGrid w:val="0"/>
        <w:spacing w:line="360" w:lineRule="auto"/>
        <w:ind w:firstLine="480" w:firstLineChars="200"/>
        <w:rPr>
          <w:rFonts w:hint="eastAsia" w:ascii="宋体" w:hAnsi="宋体" w:eastAsia="宋体" w:cs="宋体"/>
          <w:bCs/>
          <w:color w:val="000000"/>
          <w:sz w:val="24"/>
          <w:highlight w:val="none"/>
          <w:lang w:eastAsia="zh-CN"/>
        </w:rPr>
      </w:pPr>
      <w:bookmarkStart w:id="2" w:name="_Toc15017"/>
      <w:r>
        <w:rPr>
          <w:rFonts w:hint="eastAsia" w:ascii="宋体" w:hAnsi="宋体" w:eastAsia="宋体" w:cs="宋体"/>
          <w:bCs/>
          <w:color w:val="000000"/>
          <w:sz w:val="24"/>
          <w:highlight w:val="none"/>
          <w:lang w:eastAsia="zh-CN"/>
        </w:rPr>
        <w:t>十、责任与风险：</w:t>
      </w:r>
      <w:bookmarkEnd w:id="2"/>
      <w:r>
        <w:rPr>
          <w:rFonts w:hint="eastAsia" w:ascii="宋体" w:hAnsi="宋体" w:eastAsia="宋体" w:cs="宋体"/>
          <w:bCs/>
          <w:color w:val="000000"/>
          <w:sz w:val="24"/>
          <w:highlight w:val="none"/>
          <w:lang w:eastAsia="zh-CN"/>
        </w:rPr>
        <w:t xml:space="preserve"> </w:t>
      </w:r>
    </w:p>
    <w:p w14:paraId="35075C20">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 xml:space="preserve">由于乙方员工工作失误引起的纠纷或责任，乙方负全责。甲乙双方的责任根据如下原则进行区分。 </w:t>
      </w:r>
    </w:p>
    <w:p w14:paraId="72363231">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（一）护理事故风险：</w:t>
      </w:r>
    </w:p>
    <w:p w14:paraId="302E1EF6">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 在执行生活护理过程中，由于员工工作失误造成的服务对象摔跌、坠床、烫伤、压疮和自杀等意外时，乙方负责与家属协调并承担全部责任。</w:t>
      </w:r>
    </w:p>
    <w:p w14:paraId="4EE08894">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 xml:space="preserve">2. 员工在进行生活护理的同时有义务协助护士观察发现并及时报告病情变化，若因员工拖延反映或者不反映患者主诉严重不适者，导致的延误抢救或意外发生，乙方负责与家属协调并承担相应责任。 </w:t>
      </w:r>
    </w:p>
    <w:p w14:paraId="77E02B29">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（二）管理风险</w:t>
      </w:r>
    </w:p>
    <w:p w14:paraId="0689BF09">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 xml:space="preserve">员工偷吃服务对象饭食、盗窃财物、使用电器做饭等违规行为，给甲方造成经济损失的全额赔偿，同时视为乙方违约，乙方需向甲方承担违约责任。 </w:t>
      </w:r>
    </w:p>
    <w:p w14:paraId="78F3CCE0">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（三）其他风险</w:t>
      </w:r>
    </w:p>
    <w:p w14:paraId="28281732">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 xml:space="preserve">其他赔偿责任，依据中华人民共和国法律，由甲乙双方在公平、公正的原则下协商解决。 </w:t>
      </w:r>
    </w:p>
    <w:p w14:paraId="0E00F006">
      <w:pPr>
        <w:snapToGrid w:val="0"/>
        <w:spacing w:line="360" w:lineRule="auto"/>
        <w:ind w:firstLine="480" w:firstLineChars="200"/>
        <w:rPr>
          <w:rFonts w:hint="eastAsia" w:ascii="宋体" w:hAnsi="宋体" w:eastAsia="宋体" w:cs="宋体"/>
          <w:bCs/>
          <w:color w:val="000000"/>
          <w:sz w:val="24"/>
          <w:highlight w:val="none"/>
          <w:lang w:eastAsia="zh-CN"/>
        </w:rPr>
      </w:pPr>
      <w:bookmarkStart w:id="3" w:name="_Toc27810"/>
      <w:r>
        <w:rPr>
          <w:rFonts w:hint="eastAsia" w:ascii="宋体" w:hAnsi="宋体" w:eastAsia="宋体" w:cs="宋体"/>
          <w:bCs/>
          <w:color w:val="000000"/>
          <w:sz w:val="24"/>
          <w:highlight w:val="none"/>
          <w:lang w:eastAsia="zh-CN"/>
        </w:rPr>
        <w:t>十一、违约条款 ：</w:t>
      </w:r>
      <w:bookmarkEnd w:id="3"/>
    </w:p>
    <w:p w14:paraId="0F6275E2">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乙方违反本协议任一条约定的，每出现一次违约行为，需按照合同约定最高金额的5%向甲方承担违约责任；同一违约事项出现2次及以上的，每次按照合同约定最高金额的10%承担违约责任；乙方谎报、虚报饮食费、日杂费用的，乙方需按照谎报、续保金额的2倍向甲方支付违约金，甲方对乙方提报费用产生质疑的，乙方有义务提供相关支付记录等佐证资料，拒不提供的视为谎报、虚报费用。</w:t>
      </w:r>
    </w:p>
    <w:p w14:paraId="096C0D36">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2. 如果因乙方人力不足，给甲方造成的人员加班费用，由乙方承担。</w:t>
      </w:r>
    </w:p>
    <w:p w14:paraId="011E3C0A">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3.乙方有下列情形之一的，甲方有权提前解除本协议，拒绝支付任何费用，乙方需按照合同约定最高金额的30%向甲方支付违约金，本合同约定的其他违约金一并适用。给甲方造成损失的，还需赔偿全部损失。</w:t>
      </w:r>
    </w:p>
    <w:p w14:paraId="3DE7AA8D">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（1）乙方拒绝提供</w:t>
      </w:r>
      <w:r>
        <w:rPr>
          <w:rFonts w:hint="eastAsia" w:ascii="宋体" w:hAnsi="宋体" w:cs="宋体"/>
          <w:bCs/>
          <w:color w:val="000000"/>
          <w:sz w:val="24"/>
          <w:highlight w:val="none"/>
          <w:lang w:val="en-US" w:eastAsia="zh-CN"/>
        </w:rPr>
        <w:t>康复</w:t>
      </w:r>
      <w:r>
        <w:rPr>
          <w:rFonts w:hint="eastAsia" w:ascii="宋体" w:hAnsi="宋体" w:eastAsia="宋体" w:cs="宋体"/>
          <w:bCs/>
          <w:color w:val="000000"/>
          <w:sz w:val="24"/>
          <w:highlight w:val="none"/>
          <w:lang w:eastAsia="zh-CN"/>
        </w:rPr>
        <w:t>服务或懈怠履行合同义务的；</w:t>
      </w:r>
    </w:p>
    <w:p w14:paraId="79FA92D8">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（2）乙方擅自转委托的；或乙方指派工作人员不符合合同约定资质、条件的。</w:t>
      </w:r>
    </w:p>
    <w:p w14:paraId="017FEC90">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（3）乙方违反保密约定，造成甲方或患者及其家属信息泄露的；</w:t>
      </w:r>
    </w:p>
    <w:p w14:paraId="54771BCC">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（4）乙方指派工作人员严重失职，造成患者或院方人身损害、较大经济损失的。</w:t>
      </w:r>
    </w:p>
    <w:p w14:paraId="00F94CE1">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（5）乙方未按甲方要求做好陪护记录，或甲方认为陪护服务存在较大瑕疵的；</w:t>
      </w:r>
    </w:p>
    <w:p w14:paraId="6A0C0248">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（6）乙方丧失或可能丧失履约能力的，或有负面舆情的；</w:t>
      </w:r>
    </w:p>
    <w:p w14:paraId="154E00B5">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（7）其他因乙方原因造成甲方较大损失或负面舆情的；或乙方违约，经甲方提醒一次仍未改正的。</w:t>
      </w:r>
    </w:p>
    <w:p w14:paraId="00AC53D2">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十二、争议解决：本协议在履行过程中发生争议，由双方协商解决，协商不成的，双方同意在</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lang w:eastAsia="zh-CN"/>
        </w:rPr>
        <w:t xml:space="preserve">法院诉讼解决。 </w:t>
      </w:r>
    </w:p>
    <w:p w14:paraId="4A2AC10D">
      <w:pPr>
        <w:snapToGrid w:val="0"/>
        <w:spacing w:line="360" w:lineRule="auto"/>
        <w:ind w:firstLine="480" w:firstLineChars="200"/>
        <w:rPr>
          <w:rFonts w:hint="eastAsia" w:ascii="宋体" w:hAnsi="宋体" w:eastAsia="宋体" w:cs="宋体"/>
          <w:bCs/>
          <w:color w:val="000000"/>
          <w:sz w:val="24"/>
          <w:highlight w:val="none"/>
          <w:lang w:eastAsia="zh-CN"/>
        </w:rPr>
      </w:pPr>
      <w:bookmarkStart w:id="4" w:name="_Toc11398"/>
      <w:r>
        <w:rPr>
          <w:rFonts w:hint="eastAsia" w:ascii="宋体" w:hAnsi="宋体" w:eastAsia="宋体" w:cs="宋体"/>
          <w:bCs/>
          <w:color w:val="000000"/>
          <w:sz w:val="24"/>
          <w:highlight w:val="none"/>
          <w:lang w:eastAsia="zh-CN"/>
        </w:rPr>
        <w:t>十三、其他条款：</w:t>
      </w:r>
      <w:bookmarkEnd w:id="4"/>
      <w:r>
        <w:rPr>
          <w:rFonts w:hint="eastAsia" w:ascii="宋体" w:hAnsi="宋体" w:eastAsia="宋体" w:cs="宋体"/>
          <w:bCs/>
          <w:color w:val="000000"/>
          <w:sz w:val="24"/>
          <w:highlight w:val="none"/>
          <w:lang w:eastAsia="zh-CN"/>
        </w:rPr>
        <w:t xml:space="preserve"> </w:t>
      </w:r>
    </w:p>
    <w:p w14:paraId="39F833D9">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合同自双方盖章之日起生效，合同签订地点为</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lang w:eastAsia="zh-CN"/>
        </w:rPr>
        <w:t>。</w:t>
      </w:r>
    </w:p>
    <w:p w14:paraId="37EBF765">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2</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本合同未尽事宜双方签订补充协议,其内容具有同等法律效力。补充协议与本协议不 一致时,以补充协议为准。合同所有内容均为打印文书，任何手写内容无效。</w:t>
      </w:r>
    </w:p>
    <w:p w14:paraId="2A648F77">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3</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本合同一式伍份，甲方肆份，乙方壹份。</w:t>
      </w:r>
    </w:p>
    <w:p w14:paraId="27BDEEBB">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4</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本合同中的通讯地址为甲乙双方互发函件确认能够接收的地址，若有变更应在变更后5个工作日内书面通知对方，否则对方按此地址送达的任何文件在发出3日后即视为送达，通过电子邮件、微信方式送达的，一经发出即视为送达。若发生纠纷的，该地址作为法院或仲裁机构寄发相应法律文件的送达地址，因一方预留地址有误或变更通讯地址而未通知对方的，对方、法院或仲裁机构按原地址发出通知或文件3日后，视为已送达。</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8"/>
        <w:gridCol w:w="5101"/>
      </w:tblGrid>
      <w:tr w14:paraId="1A5BF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1" w:hRule="atLeast"/>
        </w:trPr>
        <w:tc>
          <w:tcPr>
            <w:tcW w:w="4078" w:type="dxa"/>
            <w:noWrap w:val="0"/>
            <w:vAlign w:val="top"/>
          </w:tcPr>
          <w:p w14:paraId="34B39E7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甲方名称：</w:t>
            </w:r>
          </w:p>
          <w:p w14:paraId="4644A33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地址：</w:t>
            </w:r>
          </w:p>
          <w:p w14:paraId="3B60E43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邮编：</w:t>
            </w:r>
          </w:p>
          <w:p w14:paraId="4652D74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电话：</w:t>
            </w:r>
          </w:p>
          <w:p w14:paraId="41C75D7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传真：</w:t>
            </w:r>
          </w:p>
          <w:p w14:paraId="4157B69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代表签字或盖章:</w:t>
            </w:r>
          </w:p>
          <w:p w14:paraId="6AD5FD0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盖章：</w:t>
            </w:r>
          </w:p>
          <w:p w14:paraId="278ABDA3">
            <w:pPr>
              <w:pStyle w:val="8"/>
              <w:rPr>
                <w:rFonts w:hint="eastAsia"/>
              </w:rPr>
            </w:pPr>
            <w:r>
              <w:rPr>
                <w:rFonts w:hint="eastAsia" w:ascii="宋体" w:hAnsi="宋体" w:eastAsia="宋体" w:cs="宋体"/>
                <w:color w:val="auto"/>
                <w:sz w:val="24"/>
                <w:szCs w:val="24"/>
                <w:lang w:eastAsia="zh-CN"/>
              </w:rPr>
              <w:t>时间：</w:t>
            </w:r>
          </w:p>
        </w:tc>
        <w:tc>
          <w:tcPr>
            <w:tcW w:w="5101" w:type="dxa"/>
            <w:noWrap w:val="0"/>
            <w:vAlign w:val="top"/>
          </w:tcPr>
          <w:p w14:paraId="5F096612">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乙方名称：</w:t>
            </w:r>
            <w:r>
              <w:rPr>
                <w:rFonts w:hint="eastAsia" w:ascii="宋体" w:hAnsi="宋体" w:eastAsia="宋体" w:cs="宋体"/>
                <w:color w:val="auto"/>
                <w:sz w:val="24"/>
                <w:szCs w:val="24"/>
                <w:lang w:val="en-US" w:eastAsia="zh-CN"/>
              </w:rPr>
              <w:t xml:space="preserve"> </w:t>
            </w:r>
          </w:p>
          <w:p w14:paraId="4E4FC1C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地址：</w:t>
            </w:r>
          </w:p>
          <w:p w14:paraId="4D6C9F3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邮编：</w:t>
            </w:r>
          </w:p>
          <w:p w14:paraId="79D8049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电话：</w:t>
            </w:r>
          </w:p>
          <w:p w14:paraId="34EA077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传真：</w:t>
            </w:r>
          </w:p>
          <w:p w14:paraId="4297F3E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代表签字或盖章:</w:t>
            </w:r>
          </w:p>
          <w:p w14:paraId="657122D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盖章：</w:t>
            </w:r>
          </w:p>
          <w:p w14:paraId="7CBFD3B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时间：</w:t>
            </w:r>
          </w:p>
        </w:tc>
      </w:tr>
      <w:tr w14:paraId="5A2E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trPr>
        <w:tc>
          <w:tcPr>
            <w:tcW w:w="9179" w:type="dxa"/>
            <w:gridSpan w:val="2"/>
            <w:noWrap w:val="0"/>
            <w:vAlign w:val="top"/>
          </w:tcPr>
          <w:p w14:paraId="2D5AACE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鉴证方名称(公章)：</w:t>
            </w:r>
          </w:p>
          <w:p w14:paraId="3B3C1F16">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经办人：</w:t>
            </w:r>
          </w:p>
          <w:p w14:paraId="5FD4CD68">
            <w:pPr>
              <w:pStyle w:val="8"/>
              <w:rPr>
                <w:rFonts w:hint="eastAsia"/>
                <w:lang w:eastAsia="zh-CN"/>
              </w:rPr>
            </w:pPr>
            <w:r>
              <w:rPr>
                <w:rFonts w:hint="eastAsia" w:ascii="宋体" w:hAnsi="宋体" w:eastAsia="宋体" w:cs="宋体"/>
                <w:color w:val="auto"/>
                <w:sz w:val="24"/>
                <w:szCs w:val="24"/>
                <w:lang w:eastAsia="zh-CN"/>
              </w:rPr>
              <w:t>时间：</w:t>
            </w:r>
          </w:p>
        </w:tc>
      </w:tr>
    </w:tbl>
    <w:p w14:paraId="072772B2">
      <w:pPr>
        <w:autoSpaceDE w:val="0"/>
        <w:autoSpaceDN w:val="0"/>
        <w:adjustRightInd w:val="0"/>
        <w:spacing w:line="520" w:lineRule="exact"/>
        <w:rPr>
          <w:rFonts w:hint="eastAsia" w:ascii="宋体" w:hAnsi="宋体"/>
          <w:color w:val="auto"/>
          <w:sz w:val="24"/>
          <w:szCs w:val="24"/>
        </w:rPr>
      </w:pPr>
    </w:p>
    <w:sectPr>
      <w:headerReference r:id="rId3" w:type="default"/>
      <w:footerReference r:id="rId4" w:type="default"/>
      <w:pgSz w:w="11906" w:h="16838"/>
      <w:pgMar w:top="1701" w:right="1304" w:bottom="141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89DC8">
    <w:pPr>
      <w:pStyle w:val="12"/>
      <w:framePr w:wrap="around" w:vAnchor="text" w:hAnchor="margin" w:xAlign="center" w:y="1"/>
      <w:rPr>
        <w:rStyle w:val="20"/>
      </w:rPr>
    </w:pPr>
    <w:r>
      <w:fldChar w:fldCharType="begin"/>
    </w:r>
    <w:r>
      <w:rPr>
        <w:rStyle w:val="20"/>
      </w:rPr>
      <w:instrText xml:space="preserve">PAGE  </w:instrText>
    </w:r>
    <w:r>
      <w:fldChar w:fldCharType="separate"/>
    </w:r>
    <w:r>
      <w:rPr>
        <w:rStyle w:val="20"/>
        <w:lang w:val="en-US" w:eastAsia="zh-CN"/>
      </w:rPr>
      <w:t>2</w:t>
    </w:r>
    <w:r>
      <w:fldChar w:fldCharType="end"/>
    </w:r>
  </w:p>
  <w:p w14:paraId="30924B59">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1FE6D">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FC6FC"/>
    <w:multiLevelType w:val="multilevel"/>
    <w:tmpl w:val="7C9FC6FC"/>
    <w:lvl w:ilvl="0" w:tentative="0">
      <w:start w:val="1"/>
      <w:numFmt w:val="decimal"/>
      <w:lvlText w:val="%1"/>
      <w:lvlJc w:val="left"/>
      <w:pPr>
        <w:tabs>
          <w:tab w:val="left" w:pos="432"/>
        </w:tabs>
        <w:ind w:left="432" w:hanging="432"/>
      </w:pPr>
      <w:rPr>
        <w:rFonts w:hint="default" w:ascii="Arial" w:hAnsi="Arial"/>
        <w:b/>
        <w:i w:val="0"/>
        <w:caps w:val="0"/>
        <w:strike w:val="0"/>
        <w:dstrike w:val="0"/>
        <w:vanish w:val="0"/>
        <w:color w:val="000000"/>
        <w:sz w:val="30"/>
        <w:vertAlign w:val="baseline"/>
      </w:rPr>
    </w:lvl>
    <w:lvl w:ilvl="1" w:tentative="0">
      <w:start w:val="1"/>
      <w:numFmt w:val="decimal"/>
      <w:lvlText w:val="%1.%2"/>
      <w:lvlJc w:val="left"/>
      <w:pPr>
        <w:tabs>
          <w:tab w:val="left" w:pos="576"/>
        </w:tabs>
        <w:ind w:left="576" w:hanging="576"/>
      </w:pPr>
      <w:rPr>
        <w:rFonts w:hint="default" w:ascii="Arial" w:hAnsi="Arial"/>
        <w:b/>
        <w:i w:val="0"/>
        <w:caps w:val="0"/>
        <w:strike w:val="0"/>
        <w:dstrike w:val="0"/>
        <w:vanish w:val="0"/>
        <w:color w:val="000000"/>
        <w:sz w:val="28"/>
        <w:vertAlign w:val="baseline"/>
        <w:lang w:val="en-GB"/>
      </w:rPr>
    </w:lvl>
    <w:lvl w:ilvl="2" w:tentative="0">
      <w:start w:val="1"/>
      <w:numFmt w:val="decimal"/>
      <w:lvlText w:val="%1.%2.%3"/>
      <w:lvlJc w:val="left"/>
      <w:pPr>
        <w:tabs>
          <w:tab w:val="left" w:pos="720"/>
        </w:tabs>
        <w:ind w:left="720" w:hanging="720"/>
      </w:pPr>
      <w:rPr>
        <w:rFonts w:hint="default" w:ascii="Arial" w:hAnsi="Arial"/>
        <w:b/>
        <w:i w:val="0"/>
        <w:sz w:val="24"/>
      </w:rPr>
    </w:lvl>
    <w:lvl w:ilvl="3" w:tentative="0">
      <w:start w:val="1"/>
      <w:numFmt w:val="decimal"/>
      <w:pStyle w:val="5"/>
      <w:lvlText w:val="%1.%2.%3.%4"/>
      <w:lvlJc w:val="left"/>
      <w:pPr>
        <w:tabs>
          <w:tab w:val="left" w:pos="864"/>
        </w:tabs>
        <w:ind w:left="864" w:hanging="864"/>
      </w:pPr>
      <w:rPr>
        <w:rFonts w:hint="default" w:ascii="Arial" w:hAnsi="Arial"/>
        <w:b/>
        <w:i w:val="0"/>
        <w:sz w:val="21"/>
      </w:rPr>
    </w:lvl>
    <w:lvl w:ilvl="4" w:tentative="0">
      <w:start w:val="1"/>
      <w:numFmt w:val="decimal"/>
      <w:lvlText w:val="%1.%2.%3.%4.%5"/>
      <w:lvlJc w:val="left"/>
      <w:pPr>
        <w:tabs>
          <w:tab w:val="left" w:pos="1008"/>
        </w:tabs>
        <w:ind w:left="1008" w:hanging="1008"/>
      </w:pPr>
      <w:rPr>
        <w:rFonts w:hint="default" w:ascii="Arial" w:hAnsi="Arial"/>
        <w:sz w:val="21"/>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M0NDAzNGI2NjY1MjY2M2Y2YTQ3YTNkYThmYjdjOWQifQ=="/>
  </w:docVars>
  <w:rsids>
    <w:rsidRoot w:val="00172A27"/>
    <w:rsid w:val="00022B99"/>
    <w:rsid w:val="00051C78"/>
    <w:rsid w:val="00052DB5"/>
    <w:rsid w:val="00086B45"/>
    <w:rsid w:val="00094330"/>
    <w:rsid w:val="00097164"/>
    <w:rsid w:val="000C3942"/>
    <w:rsid w:val="000D5885"/>
    <w:rsid w:val="000D5FC3"/>
    <w:rsid w:val="000D63EE"/>
    <w:rsid w:val="0013274B"/>
    <w:rsid w:val="00145CED"/>
    <w:rsid w:val="00184DF9"/>
    <w:rsid w:val="00192D67"/>
    <w:rsid w:val="00195408"/>
    <w:rsid w:val="001A010E"/>
    <w:rsid w:val="001B677F"/>
    <w:rsid w:val="001D2E3F"/>
    <w:rsid w:val="001E5AA2"/>
    <w:rsid w:val="0021671E"/>
    <w:rsid w:val="002700E9"/>
    <w:rsid w:val="002857EB"/>
    <w:rsid w:val="002A49A6"/>
    <w:rsid w:val="002A580E"/>
    <w:rsid w:val="002C18EA"/>
    <w:rsid w:val="003464C6"/>
    <w:rsid w:val="003545CE"/>
    <w:rsid w:val="003C0EBB"/>
    <w:rsid w:val="003C2C5D"/>
    <w:rsid w:val="003E5A1D"/>
    <w:rsid w:val="003F3C4F"/>
    <w:rsid w:val="0046740A"/>
    <w:rsid w:val="004A6CC8"/>
    <w:rsid w:val="004E7776"/>
    <w:rsid w:val="00544F90"/>
    <w:rsid w:val="005473D0"/>
    <w:rsid w:val="005A33D7"/>
    <w:rsid w:val="005A73C6"/>
    <w:rsid w:val="005B37F8"/>
    <w:rsid w:val="005B5143"/>
    <w:rsid w:val="005F13A1"/>
    <w:rsid w:val="0062768C"/>
    <w:rsid w:val="006705C8"/>
    <w:rsid w:val="00673DDE"/>
    <w:rsid w:val="006B2BFF"/>
    <w:rsid w:val="006D61C1"/>
    <w:rsid w:val="006E44BE"/>
    <w:rsid w:val="006F0C11"/>
    <w:rsid w:val="006F3FAB"/>
    <w:rsid w:val="00713F41"/>
    <w:rsid w:val="0073067F"/>
    <w:rsid w:val="0073312F"/>
    <w:rsid w:val="0074336F"/>
    <w:rsid w:val="0075081A"/>
    <w:rsid w:val="007A0F90"/>
    <w:rsid w:val="007C1BC1"/>
    <w:rsid w:val="007E0DF9"/>
    <w:rsid w:val="007F69AD"/>
    <w:rsid w:val="008104B8"/>
    <w:rsid w:val="00847517"/>
    <w:rsid w:val="00887F7F"/>
    <w:rsid w:val="008B6A8A"/>
    <w:rsid w:val="008F5987"/>
    <w:rsid w:val="008F77D6"/>
    <w:rsid w:val="00904A65"/>
    <w:rsid w:val="0091493D"/>
    <w:rsid w:val="009525B2"/>
    <w:rsid w:val="009748C4"/>
    <w:rsid w:val="009A0189"/>
    <w:rsid w:val="009A496E"/>
    <w:rsid w:val="009C3BAF"/>
    <w:rsid w:val="00A055F5"/>
    <w:rsid w:val="00A064F7"/>
    <w:rsid w:val="00A2081D"/>
    <w:rsid w:val="00A211D9"/>
    <w:rsid w:val="00A27601"/>
    <w:rsid w:val="00A45F7E"/>
    <w:rsid w:val="00A57761"/>
    <w:rsid w:val="00AA52B1"/>
    <w:rsid w:val="00AB2C39"/>
    <w:rsid w:val="00B623AA"/>
    <w:rsid w:val="00B76D76"/>
    <w:rsid w:val="00B83848"/>
    <w:rsid w:val="00B9043B"/>
    <w:rsid w:val="00BB0BCF"/>
    <w:rsid w:val="00BD2B7A"/>
    <w:rsid w:val="00BD6BA6"/>
    <w:rsid w:val="00C16117"/>
    <w:rsid w:val="00C46DB8"/>
    <w:rsid w:val="00C64874"/>
    <w:rsid w:val="00C7200F"/>
    <w:rsid w:val="00C72318"/>
    <w:rsid w:val="00C8616E"/>
    <w:rsid w:val="00CB3171"/>
    <w:rsid w:val="00CC4C4E"/>
    <w:rsid w:val="00D455A6"/>
    <w:rsid w:val="00D4656E"/>
    <w:rsid w:val="00DA6265"/>
    <w:rsid w:val="00DA63EF"/>
    <w:rsid w:val="00DD523F"/>
    <w:rsid w:val="00DF4AED"/>
    <w:rsid w:val="00E02D24"/>
    <w:rsid w:val="00E45B65"/>
    <w:rsid w:val="00E572C8"/>
    <w:rsid w:val="00E9298F"/>
    <w:rsid w:val="00E95721"/>
    <w:rsid w:val="00ED329F"/>
    <w:rsid w:val="00EE0F8E"/>
    <w:rsid w:val="00EF1499"/>
    <w:rsid w:val="00EF18EC"/>
    <w:rsid w:val="00EF76FE"/>
    <w:rsid w:val="00F07F05"/>
    <w:rsid w:val="00F22EB7"/>
    <w:rsid w:val="00F304A8"/>
    <w:rsid w:val="00F33418"/>
    <w:rsid w:val="00F55714"/>
    <w:rsid w:val="00F9707D"/>
    <w:rsid w:val="00FB47F3"/>
    <w:rsid w:val="00FD06E3"/>
    <w:rsid w:val="00FD1407"/>
    <w:rsid w:val="01ED7025"/>
    <w:rsid w:val="02CB7561"/>
    <w:rsid w:val="068A52F6"/>
    <w:rsid w:val="07FA4D13"/>
    <w:rsid w:val="083104C1"/>
    <w:rsid w:val="0A2069F6"/>
    <w:rsid w:val="0A760013"/>
    <w:rsid w:val="0B6A3567"/>
    <w:rsid w:val="0C7603CC"/>
    <w:rsid w:val="0C7A54F0"/>
    <w:rsid w:val="0CE23502"/>
    <w:rsid w:val="0DCE6B40"/>
    <w:rsid w:val="0F8C0A60"/>
    <w:rsid w:val="106A66B5"/>
    <w:rsid w:val="10B42F21"/>
    <w:rsid w:val="11BF0A31"/>
    <w:rsid w:val="1328337A"/>
    <w:rsid w:val="13946135"/>
    <w:rsid w:val="14B067DA"/>
    <w:rsid w:val="1B2052AB"/>
    <w:rsid w:val="1B360B86"/>
    <w:rsid w:val="1CB808A4"/>
    <w:rsid w:val="1EE700F8"/>
    <w:rsid w:val="213F5933"/>
    <w:rsid w:val="22E95E66"/>
    <w:rsid w:val="22EA7B20"/>
    <w:rsid w:val="2F09259E"/>
    <w:rsid w:val="3069378E"/>
    <w:rsid w:val="30BC79DE"/>
    <w:rsid w:val="33177F5D"/>
    <w:rsid w:val="33843679"/>
    <w:rsid w:val="33926611"/>
    <w:rsid w:val="33D829FB"/>
    <w:rsid w:val="35194AFE"/>
    <w:rsid w:val="36B063AC"/>
    <w:rsid w:val="36FA327E"/>
    <w:rsid w:val="38316125"/>
    <w:rsid w:val="38321935"/>
    <w:rsid w:val="387B5370"/>
    <w:rsid w:val="389205E6"/>
    <w:rsid w:val="39267CD8"/>
    <w:rsid w:val="3A494067"/>
    <w:rsid w:val="3B293484"/>
    <w:rsid w:val="3E620A8F"/>
    <w:rsid w:val="3EBD622E"/>
    <w:rsid w:val="4098530B"/>
    <w:rsid w:val="410D6FE9"/>
    <w:rsid w:val="41961359"/>
    <w:rsid w:val="41A009C4"/>
    <w:rsid w:val="42262080"/>
    <w:rsid w:val="43724E1C"/>
    <w:rsid w:val="469F7CA9"/>
    <w:rsid w:val="47045039"/>
    <w:rsid w:val="473236C0"/>
    <w:rsid w:val="49CD6BEA"/>
    <w:rsid w:val="49F9104E"/>
    <w:rsid w:val="4AF64A04"/>
    <w:rsid w:val="4B70182E"/>
    <w:rsid w:val="4BCA42EC"/>
    <w:rsid w:val="4D1C375A"/>
    <w:rsid w:val="4DB125A8"/>
    <w:rsid w:val="4E5F7BBF"/>
    <w:rsid w:val="511129ED"/>
    <w:rsid w:val="5580116A"/>
    <w:rsid w:val="57841230"/>
    <w:rsid w:val="57B437AF"/>
    <w:rsid w:val="58016947"/>
    <w:rsid w:val="58391929"/>
    <w:rsid w:val="59B36724"/>
    <w:rsid w:val="5B51539A"/>
    <w:rsid w:val="5B656260"/>
    <w:rsid w:val="5C4A4BB0"/>
    <w:rsid w:val="5D5E1BAD"/>
    <w:rsid w:val="5DB63007"/>
    <w:rsid w:val="5F4E1909"/>
    <w:rsid w:val="60A02A1D"/>
    <w:rsid w:val="622226A1"/>
    <w:rsid w:val="62F52C05"/>
    <w:rsid w:val="62F83C40"/>
    <w:rsid w:val="63366651"/>
    <w:rsid w:val="66446D48"/>
    <w:rsid w:val="67F3434E"/>
    <w:rsid w:val="690F7B9A"/>
    <w:rsid w:val="6D276580"/>
    <w:rsid w:val="6D80252E"/>
    <w:rsid w:val="6E7E5648"/>
    <w:rsid w:val="6EEA3FEE"/>
    <w:rsid w:val="7075733E"/>
    <w:rsid w:val="718957D5"/>
    <w:rsid w:val="73A573D5"/>
    <w:rsid w:val="76BB709F"/>
    <w:rsid w:val="77FA7033"/>
    <w:rsid w:val="7ADB75EF"/>
    <w:rsid w:val="7D1E4180"/>
    <w:rsid w:val="7E2D7EF7"/>
    <w:rsid w:val="7EAB589E"/>
    <w:rsid w:val="7EED1FD5"/>
    <w:rsid w:val="7F8D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3"/>
    <w:next w:val="1"/>
    <w:qFormat/>
    <w:uiPriority w:val="0"/>
    <w:pPr>
      <w:numPr>
        <w:ilvl w:val="3"/>
        <w:numId w:val="1"/>
      </w:numPr>
      <w:spacing w:before="280" w:after="290" w:line="372" w:lineRule="auto"/>
      <w:outlineLvl w:val="3"/>
    </w:pPr>
    <w:rPr>
      <w:rFonts w:eastAsia="黑体"/>
      <w:sz w:val="28"/>
    </w:rPr>
  </w:style>
  <w:style w:type="character" w:default="1" w:styleId="19">
    <w:name w:val="Default Paragraph Font"/>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Document Map"/>
    <w:basedOn w:val="1"/>
    <w:link w:val="22"/>
    <w:qFormat/>
    <w:uiPriority w:val="0"/>
    <w:rPr>
      <w:rFonts w:ascii="宋体"/>
      <w:sz w:val="18"/>
      <w:szCs w:val="18"/>
    </w:rPr>
  </w:style>
  <w:style w:type="paragraph" w:styleId="7">
    <w:name w:val="annotation text"/>
    <w:basedOn w:val="1"/>
    <w:link w:val="23"/>
    <w:qFormat/>
    <w:uiPriority w:val="0"/>
    <w:pPr>
      <w:jc w:val="left"/>
    </w:pPr>
  </w:style>
  <w:style w:type="paragraph" w:styleId="8">
    <w:name w:val="Body Text"/>
    <w:basedOn w:val="1"/>
    <w:next w:val="1"/>
    <w:qFormat/>
    <w:uiPriority w:val="0"/>
  </w:style>
  <w:style w:type="paragraph" w:styleId="9">
    <w:name w:val="Plain Text"/>
    <w:basedOn w:val="1"/>
    <w:qFormat/>
    <w:uiPriority w:val="0"/>
    <w:pPr>
      <w:spacing w:line="324" w:lineRule="auto"/>
    </w:pPr>
    <w:rPr>
      <w:rFonts w:ascii="宋体" w:hAnsi="Courier New" w:cs="Courier New"/>
      <w:szCs w:val="21"/>
    </w:rPr>
  </w:style>
  <w:style w:type="paragraph" w:styleId="10">
    <w:name w:val="Date"/>
    <w:basedOn w:val="1"/>
    <w:next w:val="1"/>
    <w:qFormat/>
    <w:uiPriority w:val="0"/>
    <w:pPr>
      <w:ind w:left="100" w:leftChars="2500"/>
    </w:pPr>
  </w:style>
  <w:style w:type="paragraph" w:styleId="11">
    <w:name w:val="Balloon Text"/>
    <w:basedOn w:val="1"/>
    <w:link w:val="24"/>
    <w:qFormat/>
    <w:uiPriority w:val="0"/>
    <w:rPr>
      <w:rFonts w:ascii="宋体"/>
      <w:sz w:val="18"/>
      <w:szCs w:val="18"/>
    </w:rPr>
  </w:style>
  <w:style w:type="paragraph" w:styleId="12">
    <w:name w:val="footer"/>
    <w:basedOn w:val="1"/>
    <w:next w:val="13"/>
    <w:qFormat/>
    <w:uiPriority w:val="0"/>
    <w:pPr>
      <w:tabs>
        <w:tab w:val="center" w:pos="4153"/>
        <w:tab w:val="right" w:pos="8306"/>
      </w:tabs>
      <w:snapToGrid w:val="0"/>
      <w:jc w:val="left"/>
    </w:pPr>
    <w:rPr>
      <w:sz w:val="18"/>
      <w:szCs w:val="18"/>
    </w:rPr>
  </w:style>
  <w:style w:type="paragraph" w:customStyle="1" w:styleId="13">
    <w:name w:val="TOC 标题1"/>
    <w:next w:val="1"/>
    <w:qFormat/>
    <w:uiPriority w:val="0"/>
    <w:pPr>
      <w:wordWrap w:val="0"/>
    </w:pPr>
    <w:rPr>
      <w:rFonts w:ascii="Times New Roman" w:hAnsi="Times New Roman" w:eastAsia="宋体" w:cs="Times New Roman"/>
      <w:sz w:val="32"/>
      <w:lang w:val="en-US" w:eastAsia="zh-CN" w:bidi="ar-SA"/>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rPr>
      <w:sz w:val="24"/>
      <w:szCs w:val="24"/>
    </w:rPr>
  </w:style>
  <w:style w:type="paragraph" w:styleId="16">
    <w:name w:val="annotation subject"/>
    <w:basedOn w:val="7"/>
    <w:next w:val="7"/>
    <w:link w:val="25"/>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style>
  <w:style w:type="character" w:styleId="21">
    <w:name w:val="annotation reference"/>
    <w:qFormat/>
    <w:uiPriority w:val="0"/>
    <w:rPr>
      <w:sz w:val="21"/>
      <w:szCs w:val="21"/>
    </w:rPr>
  </w:style>
  <w:style w:type="character" w:customStyle="1" w:styleId="22">
    <w:name w:val="文档结构图 字符"/>
    <w:link w:val="6"/>
    <w:qFormat/>
    <w:uiPriority w:val="0"/>
    <w:rPr>
      <w:rFonts w:ascii="宋体"/>
      <w:kern w:val="2"/>
      <w:sz w:val="18"/>
      <w:szCs w:val="18"/>
    </w:rPr>
  </w:style>
  <w:style w:type="character" w:customStyle="1" w:styleId="23">
    <w:name w:val="批注文字 字符"/>
    <w:link w:val="7"/>
    <w:qFormat/>
    <w:uiPriority w:val="0"/>
    <w:rPr>
      <w:kern w:val="2"/>
      <w:sz w:val="21"/>
    </w:rPr>
  </w:style>
  <w:style w:type="character" w:customStyle="1" w:styleId="24">
    <w:name w:val="批注框文本 字符"/>
    <w:link w:val="11"/>
    <w:qFormat/>
    <w:uiPriority w:val="0"/>
    <w:rPr>
      <w:rFonts w:ascii="宋体"/>
      <w:kern w:val="2"/>
      <w:sz w:val="18"/>
      <w:szCs w:val="18"/>
    </w:rPr>
  </w:style>
  <w:style w:type="character" w:customStyle="1" w:styleId="25">
    <w:name w:val="批注主题 字符"/>
    <w:link w:val="16"/>
    <w:qFormat/>
    <w:uiPriority w:val="0"/>
    <w:rPr>
      <w:b/>
      <w:bCs/>
      <w:kern w:val="2"/>
      <w:sz w:val="21"/>
    </w:rPr>
  </w:style>
  <w:style w:type="character" w:customStyle="1" w:styleId="26">
    <w:name w:val="font121"/>
    <w:qFormat/>
    <w:uiPriority w:val="0"/>
    <w:rPr>
      <w:rFonts w:hint="eastAsia" w:ascii="宋体" w:hAnsi="宋体" w:eastAsia="宋体" w:cs="宋体"/>
      <w:b/>
      <w:color w:val="000000"/>
      <w:sz w:val="22"/>
      <w:szCs w:val="22"/>
      <w:u w:val="none"/>
    </w:rPr>
  </w:style>
  <w:style w:type="character" w:customStyle="1" w:styleId="27">
    <w:name w:val="font11"/>
    <w:qFormat/>
    <w:uiPriority w:val="0"/>
    <w:rPr>
      <w:rFonts w:hint="eastAsia" w:ascii="宋体" w:hAnsi="宋体" w:eastAsia="宋体" w:cs="宋体"/>
      <w:b/>
      <w:color w:val="000000"/>
      <w:sz w:val="22"/>
      <w:szCs w:val="22"/>
      <w:u w:val="none"/>
    </w:rPr>
  </w:style>
  <w:style w:type="character" w:customStyle="1" w:styleId="28">
    <w:name w:val="font61"/>
    <w:qFormat/>
    <w:uiPriority w:val="0"/>
    <w:rPr>
      <w:rFonts w:hint="default" w:ascii="Arial" w:hAnsi="Arial" w:cs="Arial"/>
      <w:b/>
      <w:color w:val="000000"/>
      <w:sz w:val="32"/>
      <w:szCs w:val="32"/>
      <w:u w:val="none"/>
    </w:rPr>
  </w:style>
  <w:style w:type="character" w:customStyle="1" w:styleId="29">
    <w:name w:val="font131"/>
    <w:qFormat/>
    <w:uiPriority w:val="0"/>
    <w:rPr>
      <w:rFonts w:hint="eastAsia" w:ascii="宋体" w:hAnsi="宋体" w:eastAsia="宋体" w:cs="宋体"/>
      <w:color w:val="000000"/>
      <w:sz w:val="20"/>
      <w:szCs w:val="20"/>
      <w:u w:val="none"/>
    </w:rPr>
  </w:style>
  <w:style w:type="character" w:customStyle="1" w:styleId="30">
    <w:name w:val="font71"/>
    <w:qFormat/>
    <w:uiPriority w:val="0"/>
    <w:rPr>
      <w:rFonts w:hint="default" w:ascii="Arial" w:hAnsi="Arial" w:cs="Arial"/>
      <w:color w:val="FF0000"/>
      <w:sz w:val="22"/>
      <w:szCs w:val="22"/>
      <w:u w:val="none"/>
    </w:rPr>
  </w:style>
  <w:style w:type="character" w:customStyle="1" w:styleId="31">
    <w:name w:val="font111"/>
    <w:qFormat/>
    <w:uiPriority w:val="0"/>
    <w:rPr>
      <w:rFonts w:hint="eastAsia" w:ascii="宋体" w:hAnsi="宋体" w:eastAsia="宋体" w:cs="宋体"/>
      <w:b/>
      <w:color w:val="000000"/>
      <w:sz w:val="32"/>
      <w:szCs w:val="32"/>
      <w:u w:val="none"/>
    </w:rPr>
  </w:style>
  <w:style w:type="character" w:customStyle="1" w:styleId="32">
    <w:name w:val="font181"/>
    <w:qFormat/>
    <w:uiPriority w:val="0"/>
    <w:rPr>
      <w:rFonts w:hint="default" w:ascii="Calibri" w:hAnsi="Calibri" w:cs="Calibri"/>
      <w:color w:val="000000"/>
      <w:sz w:val="22"/>
      <w:szCs w:val="22"/>
      <w:u w:val="none"/>
    </w:rPr>
  </w:style>
  <w:style w:type="character" w:customStyle="1" w:styleId="33">
    <w:name w:val="font21"/>
    <w:qFormat/>
    <w:uiPriority w:val="0"/>
    <w:rPr>
      <w:rFonts w:hint="default" w:ascii="Arial" w:hAnsi="Arial" w:cs="Arial"/>
      <w:color w:val="000000"/>
      <w:sz w:val="20"/>
      <w:szCs w:val="20"/>
      <w:u w:val="none"/>
    </w:rPr>
  </w:style>
  <w:style w:type="character" w:customStyle="1" w:styleId="34">
    <w:name w:val="font01"/>
    <w:qFormat/>
    <w:uiPriority w:val="0"/>
    <w:rPr>
      <w:rFonts w:hint="default" w:ascii="Arial" w:hAnsi="Arial" w:cs="Arial"/>
      <w:color w:val="FF0000"/>
      <w:sz w:val="22"/>
      <w:szCs w:val="22"/>
      <w:u w:val="none"/>
    </w:rPr>
  </w:style>
  <w:style w:type="character" w:customStyle="1" w:styleId="35">
    <w:name w:val="font141"/>
    <w:qFormat/>
    <w:uiPriority w:val="0"/>
    <w:rPr>
      <w:rFonts w:hint="default" w:ascii="Arial" w:hAnsi="Arial" w:cs="Arial"/>
      <w:b/>
      <w:color w:val="000000"/>
      <w:sz w:val="20"/>
      <w:szCs w:val="20"/>
      <w:u w:val="none"/>
    </w:rPr>
  </w:style>
  <w:style w:type="character" w:customStyle="1" w:styleId="36">
    <w:name w:val="font101"/>
    <w:qFormat/>
    <w:uiPriority w:val="0"/>
    <w:rPr>
      <w:rFonts w:hint="default" w:ascii="Calibri" w:hAnsi="Calibri" w:cs="Calibri"/>
      <w:color w:val="FF0000"/>
      <w:sz w:val="22"/>
      <w:szCs w:val="22"/>
      <w:u w:val="none"/>
    </w:rPr>
  </w:style>
  <w:style w:type="character" w:customStyle="1" w:styleId="37">
    <w:name w:val="font51"/>
    <w:qFormat/>
    <w:uiPriority w:val="0"/>
    <w:rPr>
      <w:rFonts w:hint="default" w:ascii="Arial" w:hAnsi="Arial" w:cs="Arial"/>
      <w:color w:val="000000"/>
      <w:sz w:val="22"/>
      <w:szCs w:val="22"/>
      <w:u w:val="none"/>
    </w:rPr>
  </w:style>
  <w:style w:type="character" w:customStyle="1" w:styleId="38">
    <w:name w:val="font81"/>
    <w:qFormat/>
    <w:uiPriority w:val="0"/>
    <w:rPr>
      <w:rFonts w:hint="eastAsia" w:ascii="宋体" w:hAnsi="宋体" w:eastAsia="宋体" w:cs="宋体"/>
      <w:b/>
      <w:color w:val="000000"/>
      <w:sz w:val="20"/>
      <w:szCs w:val="20"/>
      <w:u w:val="none"/>
    </w:rPr>
  </w:style>
  <w:style w:type="character" w:customStyle="1" w:styleId="39">
    <w:name w:val="font31"/>
    <w:qFormat/>
    <w:uiPriority w:val="0"/>
    <w:rPr>
      <w:rFonts w:hint="default" w:ascii="Calibri" w:hAnsi="Calibri" w:cs="Calibri"/>
      <w:b/>
      <w:color w:val="000000"/>
      <w:sz w:val="20"/>
      <w:szCs w:val="20"/>
      <w:u w:val="none"/>
    </w:rPr>
  </w:style>
  <w:style w:type="character" w:customStyle="1" w:styleId="40">
    <w:name w:val="font151"/>
    <w:qFormat/>
    <w:uiPriority w:val="0"/>
    <w:rPr>
      <w:rFonts w:hint="eastAsia" w:ascii="宋体" w:hAnsi="宋体" w:eastAsia="宋体" w:cs="宋体"/>
      <w:color w:val="000000"/>
      <w:sz w:val="22"/>
      <w:szCs w:val="22"/>
      <w:u w:val="none"/>
    </w:rPr>
  </w:style>
  <w:style w:type="character" w:customStyle="1" w:styleId="41">
    <w:name w:val="font91"/>
    <w:qFormat/>
    <w:uiPriority w:val="0"/>
    <w:rPr>
      <w:rFonts w:hint="default" w:ascii="Calibri" w:hAnsi="Calibri" w:cs="Calibri"/>
      <w:b/>
      <w:color w:val="000000"/>
      <w:sz w:val="22"/>
      <w:szCs w:val="22"/>
      <w:u w:val="none"/>
    </w:rPr>
  </w:style>
  <w:style w:type="character" w:customStyle="1" w:styleId="42">
    <w:name w:val="font161"/>
    <w:qFormat/>
    <w:uiPriority w:val="0"/>
    <w:rPr>
      <w:rFonts w:hint="default" w:ascii="Arial" w:hAnsi="Arial" w:cs="Arial"/>
      <w:b/>
      <w:color w:val="000000"/>
      <w:sz w:val="22"/>
      <w:szCs w:val="22"/>
      <w:u w:val="none"/>
    </w:rPr>
  </w:style>
  <w:style w:type="character" w:customStyle="1" w:styleId="43">
    <w:name w:val="font41"/>
    <w:qFormat/>
    <w:uiPriority w:val="0"/>
    <w:rPr>
      <w:rFonts w:hint="default" w:ascii="Calibri" w:hAnsi="Calibri" w:cs="Calibri"/>
      <w:color w:val="000000"/>
      <w:sz w:val="22"/>
      <w:szCs w:val="22"/>
      <w:u w:val="none"/>
    </w:rPr>
  </w:style>
  <w:style w:type="paragraph" w:customStyle="1" w:styleId="44">
    <w:name w:val="列出段落1"/>
    <w:basedOn w:val="1"/>
    <w:qFormat/>
    <w:uiPriority w:val="34"/>
    <w:pPr>
      <w:ind w:firstLine="420" w:firstLineChars="200"/>
    </w:pPr>
    <w:rPr>
      <w:rFonts w:ascii="Calibri" w:hAnsi="Calibri"/>
      <w:szCs w:val="22"/>
    </w:rPr>
  </w:style>
  <w:style w:type="paragraph" w:customStyle="1" w:styleId="45">
    <w:name w:val="Revision"/>
    <w:unhideWhenUsed/>
    <w:qFormat/>
    <w:uiPriority w:val="99"/>
    <w:rPr>
      <w:rFonts w:ascii="Times New Roman" w:hAnsi="Times New Roman" w:eastAsia="宋体" w:cs="Times New Roman"/>
      <w:kern w:val="2"/>
      <w:sz w:val="21"/>
      <w:lang w:val="en-US" w:eastAsia="zh-CN" w:bidi="ar-SA"/>
    </w:rPr>
  </w:style>
  <w:style w:type="paragraph" w:customStyle="1" w:styleId="46">
    <w:name w:val="Normal_38"/>
    <w:qFormat/>
    <w:uiPriority w:val="0"/>
    <w:pPr>
      <w:spacing w:before="120" w:after="240"/>
      <w:jc w:val="both"/>
    </w:pPr>
    <w:rPr>
      <w:rFonts w:ascii="Calibri" w:hAnsi="Calibri" w:eastAsia="Calibri" w:cs="Times New Roman"/>
      <w:sz w:val="22"/>
      <w:szCs w:val="22"/>
      <w:lang w:val="ru-RU"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zbgs</Company>
  <Pages>8</Pages>
  <Words>5482</Words>
  <Characters>5613</Characters>
  <Lines>55</Lines>
  <Paragraphs>15</Paragraphs>
  <TotalTime>5</TotalTime>
  <ScaleCrop>false</ScaleCrop>
  <LinksUpToDate>false</LinksUpToDate>
  <CharactersWithSpaces>5774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2023-08-15T06:47:00Z</dcterms:created>
  <dc:creator>sxyx</dc:creator>
  <cp:lastModifiedBy>人云日月</cp:lastModifiedBy>
  <cp:lastPrinted>2011-10-17T00:50:00Z</cp:lastPrinted>
  <dcterms:modified xsi:type="dcterms:W3CDTF">2025-12-13T08:13:28Z</dcterms:modified>
  <dc:title>陕西省卫生厅一次性注射器采购项目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D1E02C71AC314DA3B8B717C3DCA11699</vt:lpwstr>
  </property>
  <property fmtid="{D5CDD505-2E9C-101B-9397-08002B2CF9AE}" pid="4" name="KSOTemplateDocerSaveRecord">
    <vt:lpwstr>eyJoZGlkIjoiOWUwOWY1OThjOTBmY2I1M2U5OGEyOWE4OWU3MTI0MDIiLCJ1c2VySWQiOiI4OTYzMjYwMzcifQ==</vt:lpwstr>
  </property>
</Properties>
</file>