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EC130E">
      <w:pPr>
        <w:pStyle w:val="4"/>
        <w:rPr>
          <w:rFonts w:hint="eastAsia"/>
          <w:highlight w:val="none"/>
        </w:rPr>
      </w:pPr>
      <w:r>
        <w:rPr>
          <w:rFonts w:hint="eastAsia"/>
          <w:highlight w:val="none"/>
        </w:rPr>
        <w:t>拟签订采购合同文本</w:t>
      </w:r>
    </w:p>
    <w:p w14:paraId="6CB37458">
      <w:pPr>
        <w:spacing w:line="360" w:lineRule="auto"/>
        <w:jc w:val="center"/>
        <w:rPr>
          <w:rFonts w:hint="eastAsia" w:ascii="宋体" w:hAnsi="宋体" w:cs="宋体"/>
          <w:b/>
          <w:bCs/>
          <w:spacing w:val="26"/>
          <w:sz w:val="44"/>
          <w:szCs w:val="44"/>
          <w:highlight w:val="none"/>
        </w:rPr>
      </w:pPr>
    </w:p>
    <w:p w14:paraId="589121AF">
      <w:pPr>
        <w:adjustRightInd w:val="0"/>
        <w:snapToGrid w:val="0"/>
        <w:spacing w:line="360" w:lineRule="auto"/>
        <w:jc w:val="center"/>
        <w:rPr>
          <w:rFonts w:hint="eastAsia" w:ascii="宋体" w:hAnsi="宋体" w:cs="宋体"/>
          <w:b/>
          <w:bCs/>
          <w:spacing w:val="26"/>
          <w:sz w:val="36"/>
          <w:szCs w:val="36"/>
          <w:highlight w:val="none"/>
        </w:rPr>
      </w:pPr>
      <w:r>
        <w:rPr>
          <w:rFonts w:hint="eastAsia" w:ascii="宋体" w:hAnsi="宋体" w:cs="宋体"/>
          <w:b/>
          <w:bCs/>
          <w:spacing w:val="26"/>
          <w:sz w:val="36"/>
          <w:szCs w:val="36"/>
          <w:highlight w:val="none"/>
        </w:rPr>
        <w:t>西安市第二社会福利院</w:t>
      </w:r>
    </w:p>
    <w:p w14:paraId="0CDA1FBE">
      <w:pPr>
        <w:adjustRightInd w:val="0"/>
        <w:snapToGrid w:val="0"/>
        <w:spacing w:line="360" w:lineRule="auto"/>
        <w:jc w:val="center"/>
        <w:rPr>
          <w:rFonts w:hint="eastAsia" w:ascii="宋体" w:hAnsi="宋体" w:eastAsia="宋体" w:cs="宋体"/>
          <w:b/>
          <w:bCs/>
          <w:spacing w:val="26"/>
          <w:sz w:val="36"/>
          <w:szCs w:val="36"/>
          <w:highlight w:val="none"/>
          <w:lang w:eastAsia="zh-CN"/>
        </w:rPr>
      </w:pPr>
      <w:r>
        <w:rPr>
          <w:rFonts w:hint="eastAsia" w:ascii="宋体" w:hAnsi="宋体" w:cs="宋体"/>
          <w:b/>
          <w:bCs/>
          <w:spacing w:val="26"/>
          <w:sz w:val="36"/>
          <w:szCs w:val="36"/>
          <w:highlight w:val="none"/>
          <w:lang w:eastAsia="zh-CN"/>
        </w:rPr>
        <w:t>2026年休养人员外出就医护理服务项目</w:t>
      </w:r>
    </w:p>
    <w:p w14:paraId="72A74049">
      <w:pPr>
        <w:spacing w:line="360" w:lineRule="auto"/>
        <w:jc w:val="center"/>
        <w:rPr>
          <w:rFonts w:hint="eastAsia" w:ascii="宋体" w:hAnsi="宋体" w:cs="宋体"/>
          <w:b/>
          <w:bCs/>
          <w:spacing w:val="26"/>
          <w:sz w:val="84"/>
          <w:szCs w:val="84"/>
          <w:highlight w:val="none"/>
        </w:rPr>
      </w:pPr>
    </w:p>
    <w:p w14:paraId="4462EF38">
      <w:pPr>
        <w:pStyle w:val="7"/>
        <w:rPr>
          <w:rFonts w:hint="eastAsia"/>
          <w:highlight w:val="none"/>
          <w:lang w:eastAsia="zh-CN"/>
        </w:rPr>
      </w:pPr>
    </w:p>
    <w:p w14:paraId="792EAA13">
      <w:pPr>
        <w:spacing w:line="360" w:lineRule="auto"/>
        <w:jc w:val="center"/>
        <w:rPr>
          <w:rFonts w:hint="eastAsia" w:ascii="宋体" w:hAnsi="宋体" w:cs="宋体"/>
          <w:b/>
          <w:bCs/>
          <w:sz w:val="84"/>
          <w:szCs w:val="84"/>
          <w:highlight w:val="none"/>
        </w:rPr>
      </w:pPr>
      <w:r>
        <w:rPr>
          <w:rFonts w:hint="eastAsia" w:ascii="宋体" w:hAnsi="宋体" w:cs="宋体"/>
          <w:b/>
          <w:bCs/>
          <w:sz w:val="84"/>
          <w:szCs w:val="84"/>
          <w:highlight w:val="none"/>
        </w:rPr>
        <w:t>服务合同</w:t>
      </w:r>
    </w:p>
    <w:p w14:paraId="45091804">
      <w:pPr>
        <w:spacing w:line="360" w:lineRule="auto"/>
        <w:jc w:val="center"/>
        <w:rPr>
          <w:rFonts w:hint="eastAsia" w:ascii="宋体" w:hAnsi="宋体" w:cs="宋体"/>
          <w:b/>
          <w:bCs/>
          <w:spacing w:val="26"/>
          <w:sz w:val="36"/>
          <w:szCs w:val="36"/>
          <w:highlight w:val="none"/>
        </w:rPr>
      </w:pPr>
      <w:r>
        <w:rPr>
          <w:rFonts w:hint="eastAsia" w:ascii="宋体" w:hAnsi="宋体" w:cs="宋体"/>
          <w:b/>
          <w:bCs/>
          <w:sz w:val="32"/>
          <w:szCs w:val="32"/>
          <w:highlight w:val="none"/>
        </w:rPr>
        <w:t>项目编号：</w:t>
      </w:r>
      <w:r>
        <w:rPr>
          <w:rFonts w:hint="eastAsia" w:ascii="宋体" w:hAnsi="宋体" w:cs="宋体"/>
          <w:b/>
          <w:bCs/>
          <w:spacing w:val="26"/>
          <w:sz w:val="36"/>
          <w:szCs w:val="36"/>
          <w:highlight w:val="none"/>
        </w:rPr>
        <w:t xml:space="preserve"> </w:t>
      </w:r>
    </w:p>
    <w:p w14:paraId="2D935B6A">
      <w:pPr>
        <w:spacing w:line="360" w:lineRule="auto"/>
        <w:rPr>
          <w:rFonts w:hint="eastAsia" w:ascii="宋体" w:hAnsi="宋体" w:cs="宋体"/>
          <w:b/>
          <w:sz w:val="32"/>
          <w:szCs w:val="32"/>
          <w:highlight w:val="none"/>
        </w:rPr>
      </w:pPr>
    </w:p>
    <w:p w14:paraId="08373AE8">
      <w:pPr>
        <w:spacing w:line="360" w:lineRule="auto"/>
        <w:rPr>
          <w:rFonts w:hint="eastAsia" w:ascii="宋体" w:hAnsi="宋体" w:cs="宋体"/>
          <w:b/>
          <w:sz w:val="32"/>
          <w:szCs w:val="32"/>
          <w:highlight w:val="none"/>
        </w:rPr>
      </w:pPr>
    </w:p>
    <w:p w14:paraId="7CA695ED">
      <w:pPr>
        <w:spacing w:line="360" w:lineRule="auto"/>
        <w:rPr>
          <w:rFonts w:hint="eastAsia" w:ascii="宋体" w:hAnsi="宋体" w:cs="宋体"/>
          <w:b/>
          <w:sz w:val="32"/>
          <w:szCs w:val="32"/>
          <w:highlight w:val="none"/>
        </w:rPr>
      </w:pPr>
    </w:p>
    <w:p w14:paraId="7A0A686F">
      <w:pPr>
        <w:spacing w:line="360" w:lineRule="auto"/>
        <w:rPr>
          <w:rFonts w:hint="eastAsia" w:ascii="宋体" w:hAnsi="宋体" w:cs="宋体"/>
          <w:b/>
          <w:sz w:val="32"/>
          <w:szCs w:val="32"/>
          <w:highlight w:val="none"/>
        </w:rPr>
      </w:pPr>
    </w:p>
    <w:p w14:paraId="592799C2">
      <w:pPr>
        <w:pStyle w:val="7"/>
        <w:rPr>
          <w:rFonts w:hint="eastAsia"/>
          <w:highlight w:val="none"/>
          <w:lang w:eastAsia="zh-CN"/>
        </w:rPr>
      </w:pPr>
    </w:p>
    <w:p w14:paraId="0CA10D24">
      <w:pPr>
        <w:rPr>
          <w:rFonts w:hint="eastAsia"/>
          <w:highlight w:val="none"/>
        </w:rPr>
      </w:pPr>
    </w:p>
    <w:p w14:paraId="1948293F">
      <w:pPr>
        <w:spacing w:line="360" w:lineRule="auto"/>
        <w:rPr>
          <w:rFonts w:hint="eastAsia" w:ascii="宋体" w:hAnsi="宋体" w:cs="宋体"/>
          <w:b/>
          <w:sz w:val="32"/>
          <w:szCs w:val="32"/>
          <w:highlight w:val="none"/>
        </w:rPr>
      </w:pPr>
    </w:p>
    <w:p w14:paraId="47936824">
      <w:pPr>
        <w:spacing w:line="360" w:lineRule="auto"/>
        <w:ind w:firstLine="2711" w:firstLineChars="900"/>
        <w:rPr>
          <w:rFonts w:ascii="宋体" w:hAnsi="宋体" w:cs="宋体"/>
          <w:b/>
          <w:bCs/>
          <w:sz w:val="30"/>
          <w:szCs w:val="30"/>
          <w:highlight w:val="none"/>
          <w:u w:val="single"/>
        </w:rPr>
      </w:pPr>
      <w:r>
        <w:rPr>
          <w:rFonts w:hint="eastAsia" w:ascii="宋体" w:hAnsi="宋体" w:cs="宋体"/>
          <w:b/>
          <w:bCs/>
          <w:sz w:val="30"/>
          <w:szCs w:val="30"/>
          <w:highlight w:val="none"/>
        </w:rPr>
        <w:t>甲方：</w:t>
      </w:r>
      <w:r>
        <w:rPr>
          <w:rFonts w:hint="eastAsia" w:ascii="宋体" w:hAnsi="宋体" w:cs="宋体"/>
          <w:b/>
          <w:bCs/>
          <w:sz w:val="30"/>
          <w:szCs w:val="30"/>
          <w:highlight w:val="none"/>
          <w:u w:val="single"/>
        </w:rPr>
        <w:t xml:space="preserve">西安市第二社会福利院 </w:t>
      </w:r>
    </w:p>
    <w:p w14:paraId="0D67C690">
      <w:pPr>
        <w:spacing w:line="360" w:lineRule="auto"/>
        <w:ind w:firstLine="2711" w:firstLineChars="900"/>
        <w:rPr>
          <w:rFonts w:hint="default" w:ascii="宋体" w:hAnsi="宋体" w:cs="宋体"/>
          <w:b/>
          <w:bCs/>
          <w:sz w:val="30"/>
          <w:szCs w:val="30"/>
          <w:highlight w:val="none"/>
          <w:lang w:val="en-US"/>
        </w:rPr>
      </w:pPr>
      <w:r>
        <w:rPr>
          <w:rFonts w:hint="eastAsia" w:ascii="宋体" w:hAnsi="宋体" w:cs="宋体"/>
          <w:b/>
          <w:bCs/>
          <w:sz w:val="30"/>
          <w:szCs w:val="30"/>
          <w:highlight w:val="none"/>
        </w:rPr>
        <w:t>乙方：</w:t>
      </w:r>
      <w:r>
        <w:rPr>
          <w:rFonts w:hint="eastAsia" w:ascii="宋体" w:hAnsi="宋体" w:cs="宋体"/>
          <w:b/>
          <w:bCs/>
          <w:sz w:val="30"/>
          <w:szCs w:val="30"/>
          <w:highlight w:val="none"/>
          <w:u w:val="single"/>
        </w:rPr>
        <w:t xml:space="preserve">                  </w:t>
      </w:r>
      <w:r>
        <w:rPr>
          <w:rFonts w:hint="eastAsia" w:ascii="宋体" w:hAnsi="宋体" w:cs="宋体"/>
          <w:b/>
          <w:bCs/>
          <w:sz w:val="30"/>
          <w:szCs w:val="30"/>
          <w:highlight w:val="none"/>
          <w:u w:val="single"/>
          <w:lang w:val="en-US" w:eastAsia="zh-CN"/>
        </w:rPr>
        <w:t xml:space="preserve">   </w:t>
      </w:r>
    </w:p>
    <w:p w14:paraId="42D73C1B">
      <w:pPr>
        <w:ind w:firstLine="2825" w:firstLineChars="800"/>
        <w:rPr>
          <w:rFonts w:hint="eastAsia" w:ascii="宋体" w:hAnsi="宋体" w:cs="宋体"/>
          <w:highlight w:val="none"/>
        </w:rPr>
      </w:pPr>
      <w:r>
        <w:rPr>
          <w:rFonts w:hint="eastAsia" w:ascii="宋体" w:hAnsi="宋体" w:cs="宋体"/>
          <w:b/>
          <w:bCs/>
          <w:spacing w:val="26"/>
          <w:sz w:val="30"/>
          <w:szCs w:val="30"/>
          <w:highlight w:val="none"/>
        </w:rPr>
        <w:t>日期：</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年</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月</w:t>
      </w:r>
      <w:r>
        <w:rPr>
          <w:rFonts w:hint="eastAsia" w:ascii="宋体" w:hAnsi="宋体" w:cs="宋体"/>
          <w:b/>
          <w:bCs/>
          <w:spacing w:val="26"/>
          <w:sz w:val="30"/>
          <w:szCs w:val="30"/>
          <w:highlight w:val="none"/>
          <w:u w:val="single"/>
        </w:rPr>
        <w:t xml:space="preserve">  </w:t>
      </w:r>
      <w:r>
        <w:rPr>
          <w:rFonts w:hint="eastAsia" w:ascii="宋体" w:hAnsi="宋体" w:cs="宋体"/>
          <w:b/>
          <w:bCs/>
          <w:spacing w:val="26"/>
          <w:sz w:val="30"/>
          <w:szCs w:val="30"/>
          <w:highlight w:val="none"/>
        </w:rPr>
        <w:t>日</w:t>
      </w:r>
    </w:p>
    <w:p w14:paraId="56E4FBD8">
      <w:pPr>
        <w:rPr>
          <w:rFonts w:hint="eastAsia" w:ascii="宋体" w:hAnsi="宋体" w:cs="宋体"/>
          <w:highlight w:val="none"/>
        </w:rPr>
      </w:pPr>
    </w:p>
    <w:p w14:paraId="2E5BCCE4">
      <w:pPr>
        <w:pStyle w:val="7"/>
        <w:ind w:firstLine="482" w:firstLineChars="200"/>
        <w:rPr>
          <w:rFonts w:hint="default" w:ascii="宋体" w:hAnsi="宋体" w:cs="宋体"/>
          <w:b/>
          <w:sz w:val="24"/>
          <w:highlight w:val="none"/>
          <w:lang w:val="en-US" w:eastAsia="zh-CN"/>
        </w:rPr>
      </w:pPr>
    </w:p>
    <w:p w14:paraId="2FC45953">
      <w:pPr>
        <w:rPr>
          <w:rFonts w:hint="eastAsia" w:ascii="宋体" w:hAnsi="宋体" w:cs="宋体"/>
          <w:b/>
          <w:sz w:val="24"/>
          <w:highlight w:val="none"/>
        </w:rPr>
      </w:pPr>
    </w:p>
    <w:p w14:paraId="51AE31AD">
      <w:pPr>
        <w:pStyle w:val="7"/>
        <w:rPr>
          <w:rFonts w:hint="eastAsia" w:ascii="宋体" w:hAnsi="宋体" w:cs="宋体"/>
          <w:b/>
          <w:sz w:val="24"/>
          <w:highlight w:val="none"/>
          <w:lang w:eastAsia="zh-CN"/>
        </w:rPr>
      </w:pPr>
    </w:p>
    <w:p w14:paraId="06724B26">
      <w:pPr>
        <w:adjustRightInd w:val="0"/>
        <w:snapToGrid w:val="0"/>
        <w:spacing w:line="360" w:lineRule="auto"/>
        <w:ind w:firstLine="480" w:firstLineChars="200"/>
        <w:rPr>
          <w:rFonts w:hint="eastAsia" w:ascii="宋体" w:hAnsi="宋体" w:cs="宋体"/>
          <w:b/>
          <w:sz w:val="24"/>
          <w:highlight w:val="none"/>
          <w:u w:val="single"/>
        </w:rPr>
      </w:pPr>
      <w:bookmarkStart w:id="0" w:name="_Toc1655"/>
      <w:r>
        <w:rPr>
          <w:rFonts w:hint="eastAsia" w:ascii="宋体" w:hAnsi="宋体" w:eastAsia="宋体" w:cs="宋体"/>
          <w:bCs/>
          <w:color w:val="000000"/>
          <w:sz w:val="24"/>
          <w:highlight w:val="none"/>
          <w:lang w:val="en-US" w:eastAsia="zh-CN"/>
        </w:rPr>
        <w:br w:type="page"/>
      </w:r>
      <w:r>
        <w:rPr>
          <w:rFonts w:hint="eastAsia" w:ascii="宋体" w:hAnsi="宋体" w:cs="宋体"/>
          <w:b/>
          <w:sz w:val="24"/>
          <w:highlight w:val="none"/>
        </w:rPr>
        <w:t xml:space="preserve">甲方: </w:t>
      </w:r>
      <w:r>
        <w:rPr>
          <w:rFonts w:hint="eastAsia" w:ascii="宋体" w:hAnsi="宋体" w:cs="宋体"/>
          <w:b/>
          <w:sz w:val="24"/>
          <w:highlight w:val="none"/>
          <w:u w:val="single"/>
          <w:lang w:eastAsia="zh-CN"/>
        </w:rPr>
        <w:t>西安市第二社会福利院</w:t>
      </w:r>
    </w:p>
    <w:p w14:paraId="1F7F8D44">
      <w:pPr>
        <w:adjustRightInd w:val="0"/>
        <w:snapToGrid w:val="0"/>
        <w:spacing w:line="360" w:lineRule="auto"/>
        <w:ind w:firstLine="482" w:firstLineChars="200"/>
        <w:rPr>
          <w:rFonts w:ascii="宋体" w:hAnsi="宋体" w:cs="宋体"/>
          <w:b/>
          <w:sz w:val="24"/>
          <w:highlight w:val="none"/>
          <w:u w:val="single"/>
        </w:rPr>
      </w:pPr>
      <w:r>
        <w:rPr>
          <w:rFonts w:hint="eastAsia" w:ascii="宋体" w:hAnsi="宋体" w:cs="宋体"/>
          <w:b/>
          <w:sz w:val="24"/>
          <w:highlight w:val="none"/>
        </w:rPr>
        <w:t>乙方：</w:t>
      </w:r>
      <w:r>
        <w:rPr>
          <w:rFonts w:hint="eastAsia" w:ascii="宋体" w:hAnsi="宋体" w:cs="宋体"/>
          <w:b/>
          <w:sz w:val="24"/>
          <w:highlight w:val="none"/>
          <w:u w:val="single"/>
        </w:rPr>
        <w:t xml:space="preserve">            </w:t>
      </w:r>
    </w:p>
    <w:p w14:paraId="585FA349">
      <w:pPr>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lang w:eastAsia="zh-CN"/>
        </w:rPr>
        <w:t>甲</w:t>
      </w:r>
      <w:r>
        <w:rPr>
          <w:rFonts w:hint="eastAsia" w:ascii="宋体" w:hAnsi="宋体" w:cs="宋体"/>
          <w:sz w:val="24"/>
          <w:highlight w:val="none"/>
        </w:rPr>
        <w:t>方通过</w:t>
      </w:r>
      <w:r>
        <w:rPr>
          <w:rFonts w:hint="eastAsia" w:ascii="宋体" w:hAnsi="宋体" w:cs="宋体"/>
          <w:sz w:val="24"/>
          <w:highlight w:val="none"/>
          <w:lang w:eastAsia="zh-CN"/>
        </w:rPr>
        <w:t>采购</w:t>
      </w:r>
      <w:r>
        <w:rPr>
          <w:rFonts w:hint="eastAsia" w:ascii="宋体" w:hAnsi="宋体" w:cs="宋体"/>
          <w:sz w:val="24"/>
          <w:highlight w:val="none"/>
        </w:rPr>
        <w:t>确认乙方为西安市第二社会福利院</w:t>
      </w:r>
      <w:r>
        <w:rPr>
          <w:rFonts w:hint="eastAsia" w:ascii="宋体" w:hAnsi="宋体" w:cs="宋体"/>
          <w:sz w:val="24"/>
          <w:highlight w:val="none"/>
          <w:lang w:eastAsia="zh-CN"/>
        </w:rPr>
        <w:t>2026年休养人员外出就医护理服务项目</w:t>
      </w:r>
      <w:r>
        <w:rPr>
          <w:rFonts w:hint="eastAsia" w:ascii="宋体" w:hAnsi="宋体" w:cs="宋体"/>
          <w:sz w:val="24"/>
          <w:highlight w:val="none"/>
        </w:rPr>
        <w:t>供应商。经双方充分、友好协商，签立本协议书，以资共同遵守。</w:t>
      </w:r>
    </w:p>
    <w:p w14:paraId="2ECF6D40">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一</w:t>
      </w:r>
      <w:r>
        <w:rPr>
          <w:rFonts w:hint="eastAsia" w:ascii="宋体" w:hAnsi="宋体" w:eastAsia="宋体" w:cs="宋体"/>
          <w:bCs/>
          <w:color w:val="000000"/>
          <w:sz w:val="24"/>
          <w:highlight w:val="none"/>
        </w:rPr>
        <w:t>、服务要求</w:t>
      </w:r>
      <w:bookmarkEnd w:id="0"/>
    </w:p>
    <w:p w14:paraId="286A7C5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（一）乙方陪护公司需派专人负责对接甲方陪护服务业务，甲方休养人员入院时该负责人与甲方指定工作人员对接。</w:t>
      </w:r>
      <w:r>
        <w:rPr>
          <w:rFonts w:hint="eastAsia" w:ascii="宋体" w:hAnsi="宋体" w:eastAsia="宋体" w:cs="宋体"/>
          <w:bCs/>
          <w:color w:val="000000"/>
          <w:sz w:val="24"/>
          <w:highlight w:val="none"/>
          <w:lang w:val="en-US" w:eastAsia="zh-CN"/>
        </w:rPr>
        <w:t>在甲方休养人员急需住院时，乙方陪护公司负责人及护理人员应当在1小时内到达指定医院，与甲方工作人员对接并及时开始有效陪护。</w:t>
      </w:r>
    </w:p>
    <w:p w14:paraId="638267C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（二）住院期间甲方住院休养人员的安全由乙方全权负责</w:t>
      </w:r>
      <w:r>
        <w:rPr>
          <w:rFonts w:hint="eastAsia" w:ascii="宋体" w:hAnsi="宋体" w:eastAsia="宋体" w:cs="宋体"/>
          <w:bCs/>
          <w:color w:val="000000"/>
          <w:sz w:val="24"/>
          <w:highlight w:val="none"/>
          <w:lang w:val="en-US" w:eastAsia="zh-CN"/>
        </w:rPr>
        <w:t>，同时乙方在护理期间不得擅自带休养人员离开医院，特殊情况需甲方同意。为确保护理甲方休养人员住院期间生活护理的安全性及连续性，乙方无特殊原因中途不得更换护理人员。如需更换，经甲方同意后必须做好陪护接替衔接工作。</w:t>
      </w:r>
    </w:p>
    <w:p w14:paraId="1F43E1E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三）乙方陪护公司的护理人员在为甲方休养人员提供陪护服务时，应确保无传染病及其他影响陪护工作的身体疾病及心理疾病。在传染病病房陪护期间，乙方陪护人员除需无传染病及传染病病史外，还需严格执行医院传染病的相关制度，以及做好其自身防护，在此期间乙方陪护人员若患传染病，其治疗费用以及由此产生的相关的各种费用由乙方自行承担，与甲方无关。</w:t>
      </w:r>
    </w:p>
    <w:p w14:paraId="36A9B71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（四）甲方</w:t>
      </w:r>
      <w:r>
        <w:rPr>
          <w:rFonts w:hint="eastAsia" w:ascii="宋体" w:hAnsi="宋体" w:eastAsia="宋体" w:cs="宋体"/>
          <w:bCs/>
          <w:color w:val="000000"/>
          <w:sz w:val="24"/>
          <w:highlight w:val="none"/>
        </w:rPr>
        <w:t>住院陪护服务项目需包含</w:t>
      </w:r>
      <w:r>
        <w:rPr>
          <w:rFonts w:hint="eastAsia" w:ascii="宋体" w:hAnsi="宋体" w:eastAsia="宋体" w:cs="宋体"/>
          <w:bCs/>
          <w:color w:val="000000"/>
          <w:sz w:val="24"/>
          <w:highlight w:val="none"/>
          <w:lang w:eastAsia="zh-CN"/>
        </w:rPr>
        <w:t>：</w:t>
      </w:r>
    </w:p>
    <w:p w14:paraId="4D0ED4B3">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rPr>
        <w:t>1、</w:t>
      </w:r>
      <w:r>
        <w:rPr>
          <w:rFonts w:hint="eastAsia" w:ascii="宋体" w:hAnsi="宋体" w:eastAsia="宋体" w:cs="宋体"/>
          <w:bCs/>
          <w:color w:val="000000"/>
          <w:sz w:val="24"/>
          <w:highlight w:val="none"/>
          <w:lang w:eastAsia="zh-CN"/>
        </w:rPr>
        <w:t>乙方</w:t>
      </w:r>
      <w:r>
        <w:rPr>
          <w:rFonts w:hint="eastAsia" w:ascii="宋体" w:hAnsi="宋体" w:eastAsia="宋体" w:cs="宋体"/>
          <w:bCs/>
          <w:color w:val="000000"/>
          <w:sz w:val="24"/>
          <w:highlight w:val="none"/>
        </w:rPr>
        <w:t>陪护人员应在</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的授权范围内开展工作</w:t>
      </w:r>
      <w:r>
        <w:rPr>
          <w:rFonts w:hint="eastAsia" w:ascii="宋体" w:hAnsi="宋体" w:eastAsia="宋体" w:cs="宋体"/>
          <w:bCs/>
          <w:color w:val="000000"/>
          <w:sz w:val="24"/>
          <w:highlight w:val="none"/>
          <w:lang w:eastAsia="zh-CN"/>
        </w:rPr>
        <w:t>，</w:t>
      </w:r>
      <w:r>
        <w:rPr>
          <w:rFonts w:hint="eastAsia" w:ascii="宋体" w:hAnsi="宋体" w:eastAsia="宋体" w:cs="宋体"/>
          <w:bCs/>
          <w:color w:val="000000"/>
          <w:sz w:val="24"/>
          <w:highlight w:val="none"/>
        </w:rPr>
        <w:t>负责</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住院期间的饮食照顾</w:t>
      </w:r>
      <w:r>
        <w:rPr>
          <w:rFonts w:hint="eastAsia" w:ascii="宋体" w:hAnsi="宋体" w:eastAsia="宋体" w:cs="宋体"/>
          <w:bCs/>
          <w:color w:val="000000"/>
          <w:sz w:val="24"/>
          <w:highlight w:val="none"/>
          <w:lang w:eastAsia="zh-CN"/>
        </w:rPr>
        <w:t>，乙方提供的饮食照护需要有餐饮行业相关的资质，确保甲方住院休养人员在住院期间的饮食安全；乙方陪护人员负责</w:t>
      </w:r>
      <w:r>
        <w:rPr>
          <w:rFonts w:hint="eastAsia" w:ascii="宋体" w:hAnsi="宋体" w:eastAsia="宋体" w:cs="宋体"/>
          <w:bCs/>
          <w:color w:val="000000"/>
          <w:sz w:val="24"/>
          <w:highlight w:val="none"/>
          <w:lang w:val="en-US" w:eastAsia="zh-CN"/>
        </w:rPr>
        <w:t xml:space="preserve">记录甲方休养人员在住院期间一日三餐的真实情况，甲方会不定期对用餐记录进行核查。经甲方核查，如不合理，甲方不予核算。                                         </w:t>
      </w:r>
    </w:p>
    <w:p w14:paraId="4FC2A488">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rPr>
        <w:t>2、</w:t>
      </w:r>
      <w:r>
        <w:rPr>
          <w:rFonts w:hint="eastAsia" w:ascii="宋体" w:hAnsi="宋体" w:eastAsia="宋体" w:cs="宋体"/>
          <w:bCs/>
          <w:color w:val="000000"/>
          <w:sz w:val="24"/>
          <w:highlight w:val="none"/>
          <w:lang w:val="en-US" w:eastAsia="zh-CN"/>
        </w:rPr>
        <w:t>出现紧急情况产生合理的应急日杂费用（如患者手术、急诊所需的护理垫等），</w:t>
      </w:r>
      <w:r>
        <w:rPr>
          <w:rFonts w:hint="eastAsia" w:ascii="宋体" w:hAnsi="宋体" w:eastAsia="宋体" w:cs="宋体"/>
          <w:bCs/>
          <w:color w:val="000000"/>
          <w:sz w:val="24"/>
          <w:highlight w:val="none"/>
        </w:rPr>
        <w:t>在</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工作人员同意后，</w:t>
      </w:r>
      <w:r>
        <w:rPr>
          <w:rFonts w:hint="eastAsia" w:ascii="宋体" w:hAnsi="宋体" w:eastAsia="宋体" w:cs="宋体"/>
          <w:bCs/>
          <w:color w:val="000000"/>
          <w:sz w:val="24"/>
          <w:highlight w:val="none"/>
          <w:lang w:val="en-US" w:eastAsia="zh-CN"/>
        </w:rPr>
        <w:t>需由乙方陪护公司先行支付应急日杂费用，留存好相关用品小票或单据，开具相关用品正规发票，甲方将在甲方休养人员出院后根据相关用品小票、单据、正规发票给予乙方陪护公司进行核算。</w:t>
      </w:r>
    </w:p>
    <w:p w14:paraId="103FBE1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val="en-US" w:eastAsia="zh-CN"/>
        </w:rPr>
        <w:t>3、乙方</w:t>
      </w:r>
      <w:r>
        <w:rPr>
          <w:rFonts w:hint="eastAsia" w:ascii="宋体" w:hAnsi="宋体" w:eastAsia="宋体" w:cs="宋体"/>
          <w:bCs/>
          <w:color w:val="000000"/>
          <w:sz w:val="24"/>
          <w:highlight w:val="none"/>
        </w:rPr>
        <w:t>陪护公司陪护</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的护理人员</w:t>
      </w:r>
      <w:r>
        <w:rPr>
          <w:rFonts w:hint="eastAsia" w:ascii="宋体" w:hAnsi="宋体" w:eastAsia="宋体" w:cs="宋体"/>
          <w:bCs/>
          <w:color w:val="000000"/>
          <w:sz w:val="24"/>
          <w:highlight w:val="none"/>
          <w:lang w:eastAsia="zh-CN"/>
        </w:rPr>
        <w:t>应进行完整的登记记录工作，对</w:t>
      </w:r>
      <w:r>
        <w:rPr>
          <w:rFonts w:hint="eastAsia" w:ascii="宋体" w:hAnsi="宋体" w:eastAsia="宋体" w:cs="宋体"/>
          <w:bCs/>
          <w:color w:val="000000"/>
          <w:sz w:val="24"/>
          <w:highlight w:val="none"/>
        </w:rPr>
        <w:t>护理记录登记造册</w:t>
      </w:r>
      <w:r>
        <w:rPr>
          <w:rFonts w:hint="eastAsia" w:ascii="宋体" w:hAnsi="宋体" w:eastAsia="宋体" w:cs="宋体"/>
          <w:bCs/>
          <w:color w:val="000000"/>
          <w:sz w:val="24"/>
          <w:highlight w:val="none"/>
          <w:lang w:eastAsia="zh-CN"/>
        </w:rPr>
        <w:t>，形成陪护记录清</w:t>
      </w:r>
      <w:r>
        <w:rPr>
          <w:rFonts w:hint="eastAsia" w:ascii="宋体" w:hAnsi="宋体" w:eastAsia="宋体" w:cs="宋体"/>
          <w:bCs/>
          <w:color w:val="000000"/>
          <w:sz w:val="24"/>
          <w:highlight w:val="none"/>
          <w:lang w:val="en-US" w:eastAsia="zh-CN"/>
        </w:rPr>
        <w:t>单</w:t>
      </w:r>
      <w:r>
        <w:rPr>
          <w:rFonts w:hint="eastAsia" w:ascii="宋体" w:hAnsi="宋体" w:eastAsia="宋体" w:cs="宋体"/>
          <w:bCs/>
          <w:color w:val="000000"/>
          <w:sz w:val="24"/>
          <w:highlight w:val="none"/>
        </w:rPr>
        <w:t>，</w:t>
      </w:r>
      <w:r>
        <w:rPr>
          <w:rFonts w:hint="eastAsia" w:ascii="宋体" w:hAnsi="宋体" w:eastAsia="宋体" w:cs="宋体"/>
          <w:bCs/>
          <w:color w:val="000000"/>
          <w:sz w:val="24"/>
          <w:highlight w:val="none"/>
          <w:lang w:eastAsia="zh-CN"/>
        </w:rPr>
        <w:t>需</w:t>
      </w:r>
      <w:r>
        <w:rPr>
          <w:rFonts w:hint="eastAsia" w:ascii="宋体" w:hAnsi="宋体" w:eastAsia="宋体" w:cs="宋体"/>
          <w:bCs/>
          <w:color w:val="000000"/>
          <w:sz w:val="24"/>
          <w:highlight w:val="none"/>
        </w:rPr>
        <w:t>将陪护</w:t>
      </w:r>
      <w:r>
        <w:rPr>
          <w:rFonts w:hint="eastAsia" w:ascii="宋体" w:hAnsi="宋体" w:eastAsia="宋体" w:cs="宋体"/>
          <w:bCs/>
          <w:color w:val="000000"/>
          <w:sz w:val="24"/>
          <w:highlight w:val="none"/>
          <w:lang w:eastAsia="zh-CN"/>
        </w:rPr>
        <w:t>休养人员</w:t>
      </w:r>
      <w:r>
        <w:rPr>
          <w:rFonts w:hint="eastAsia" w:ascii="宋体" w:hAnsi="宋体" w:eastAsia="宋体" w:cs="宋体"/>
          <w:bCs/>
          <w:color w:val="000000"/>
          <w:sz w:val="24"/>
          <w:highlight w:val="none"/>
        </w:rPr>
        <w:t>实际发生的饮食费用、手术应急辅材杂费分别列示</w:t>
      </w:r>
      <w:r>
        <w:rPr>
          <w:rFonts w:hint="eastAsia" w:ascii="宋体" w:hAnsi="宋体" w:eastAsia="宋体" w:cs="宋体"/>
          <w:bCs/>
          <w:color w:val="000000"/>
          <w:sz w:val="24"/>
          <w:highlight w:val="none"/>
          <w:lang w:eastAsia="zh-CN"/>
        </w:rPr>
        <w:t>，</w:t>
      </w:r>
      <w:r>
        <w:rPr>
          <w:rFonts w:hint="eastAsia" w:ascii="宋体" w:hAnsi="宋体" w:eastAsia="宋体" w:cs="宋体"/>
          <w:bCs/>
          <w:color w:val="000000"/>
          <w:sz w:val="24"/>
          <w:highlight w:val="none"/>
          <w:lang w:val="en-US" w:eastAsia="zh-CN"/>
        </w:rPr>
        <w:t>定期</w:t>
      </w:r>
      <w:r>
        <w:rPr>
          <w:rFonts w:hint="eastAsia" w:ascii="宋体" w:hAnsi="宋体" w:eastAsia="宋体" w:cs="宋体"/>
          <w:bCs/>
          <w:color w:val="000000"/>
          <w:sz w:val="24"/>
          <w:highlight w:val="none"/>
        </w:rPr>
        <w:t>与甲方核对确认，并开具</w:t>
      </w:r>
      <w:r>
        <w:rPr>
          <w:rFonts w:hint="eastAsia" w:ascii="宋体" w:hAnsi="宋体" w:eastAsia="宋体" w:cs="宋体"/>
          <w:bCs/>
          <w:color w:val="000000"/>
          <w:sz w:val="24"/>
          <w:highlight w:val="none"/>
          <w:lang w:eastAsia="zh-CN"/>
        </w:rPr>
        <w:t>相对应</w:t>
      </w:r>
      <w:r>
        <w:rPr>
          <w:rFonts w:hint="eastAsia" w:ascii="宋体" w:hAnsi="宋体" w:eastAsia="宋体" w:cs="宋体"/>
          <w:bCs/>
          <w:color w:val="000000"/>
          <w:sz w:val="24"/>
          <w:highlight w:val="none"/>
        </w:rPr>
        <w:t>发票</w:t>
      </w:r>
      <w:r>
        <w:rPr>
          <w:rFonts w:hint="eastAsia" w:ascii="宋体" w:hAnsi="宋体" w:eastAsia="宋体" w:cs="宋体"/>
          <w:bCs/>
          <w:color w:val="000000"/>
          <w:sz w:val="24"/>
          <w:highlight w:val="none"/>
          <w:lang w:eastAsia="zh-CN"/>
        </w:rPr>
        <w:t>。</w:t>
      </w:r>
    </w:p>
    <w:p w14:paraId="5FB4713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（五）乙方陪护公司护理人员</w:t>
      </w:r>
      <w:r>
        <w:rPr>
          <w:rFonts w:hint="eastAsia" w:ascii="宋体" w:hAnsi="宋体" w:eastAsia="宋体" w:cs="宋体"/>
          <w:bCs/>
          <w:color w:val="000000"/>
          <w:sz w:val="24"/>
          <w:highlight w:val="none"/>
          <w:lang w:val="en-US" w:eastAsia="zh-CN"/>
        </w:rPr>
        <w:t>的吃住、交通费用以及一切福利待遇等均由乙方陪护公司自理。</w:t>
      </w:r>
    </w:p>
    <w:p w14:paraId="4F44559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（六）乙方陪护公司应</w:t>
      </w:r>
      <w:r>
        <w:rPr>
          <w:rFonts w:hint="eastAsia" w:ascii="宋体" w:hAnsi="宋体" w:eastAsia="宋体" w:cs="宋体"/>
          <w:bCs/>
          <w:color w:val="000000"/>
          <w:sz w:val="24"/>
          <w:highlight w:val="none"/>
        </w:rPr>
        <w:t>对</w:t>
      </w:r>
      <w:r>
        <w:rPr>
          <w:rFonts w:hint="eastAsia" w:ascii="宋体" w:hAnsi="宋体" w:eastAsia="宋体" w:cs="宋体"/>
          <w:bCs/>
          <w:color w:val="000000"/>
          <w:sz w:val="24"/>
          <w:highlight w:val="none"/>
          <w:lang w:eastAsia="zh-CN"/>
        </w:rPr>
        <w:t>乙方</w:t>
      </w:r>
      <w:r>
        <w:rPr>
          <w:rFonts w:hint="eastAsia" w:ascii="宋体" w:hAnsi="宋体" w:eastAsia="宋体" w:cs="宋体"/>
          <w:bCs/>
          <w:color w:val="000000"/>
          <w:sz w:val="24"/>
          <w:highlight w:val="none"/>
        </w:rPr>
        <w:t>陪护人员</w:t>
      </w:r>
      <w:r>
        <w:rPr>
          <w:rFonts w:hint="eastAsia" w:ascii="宋体" w:hAnsi="宋体" w:eastAsia="宋体" w:cs="宋体"/>
          <w:bCs/>
          <w:color w:val="000000"/>
          <w:sz w:val="24"/>
          <w:highlight w:val="none"/>
          <w:lang w:eastAsia="zh-CN"/>
        </w:rPr>
        <w:t>加强培训和</w:t>
      </w:r>
      <w:r>
        <w:rPr>
          <w:rFonts w:hint="eastAsia" w:ascii="宋体" w:hAnsi="宋体" w:eastAsia="宋体" w:cs="宋体"/>
          <w:bCs/>
          <w:color w:val="000000"/>
          <w:sz w:val="24"/>
          <w:highlight w:val="none"/>
        </w:rPr>
        <w:t>考核，</w:t>
      </w:r>
      <w:r>
        <w:rPr>
          <w:rFonts w:hint="eastAsia" w:ascii="宋体" w:hAnsi="宋体" w:eastAsia="宋体" w:cs="宋体"/>
          <w:bCs/>
          <w:color w:val="000000"/>
          <w:sz w:val="24"/>
          <w:highlight w:val="none"/>
          <w:lang w:eastAsia="zh-CN"/>
        </w:rPr>
        <w:t>所有乙方陪护人员需持证上岗，用以保障甲方住院休养人员住院期间</w:t>
      </w:r>
      <w:r>
        <w:rPr>
          <w:rFonts w:hint="eastAsia" w:ascii="宋体" w:hAnsi="宋体" w:eastAsia="宋体" w:cs="宋体"/>
          <w:bCs/>
          <w:color w:val="000000"/>
          <w:sz w:val="24"/>
          <w:highlight w:val="none"/>
        </w:rPr>
        <w:t>的日常生活与安全。</w:t>
      </w:r>
      <w:r>
        <w:rPr>
          <w:rFonts w:hint="eastAsia" w:ascii="宋体" w:hAnsi="宋体" w:eastAsia="宋体" w:cs="宋体"/>
          <w:bCs/>
          <w:color w:val="000000"/>
          <w:sz w:val="24"/>
          <w:highlight w:val="none"/>
          <w:lang w:eastAsia="zh-CN"/>
        </w:rPr>
        <w:t>乙方</w:t>
      </w:r>
      <w:r>
        <w:rPr>
          <w:rFonts w:hint="eastAsia" w:ascii="宋体" w:hAnsi="宋体" w:eastAsia="宋体" w:cs="宋体"/>
          <w:bCs/>
          <w:color w:val="000000"/>
          <w:sz w:val="24"/>
          <w:highlight w:val="none"/>
        </w:rPr>
        <w:t>陪护</w:t>
      </w:r>
      <w:r>
        <w:rPr>
          <w:rFonts w:hint="eastAsia" w:ascii="宋体" w:hAnsi="宋体" w:eastAsia="宋体" w:cs="宋体"/>
          <w:bCs/>
          <w:color w:val="000000"/>
          <w:sz w:val="24"/>
          <w:highlight w:val="none"/>
          <w:lang w:eastAsia="zh-CN"/>
        </w:rPr>
        <w:t>人员陪护</w:t>
      </w:r>
      <w:r>
        <w:rPr>
          <w:rFonts w:hint="eastAsia" w:ascii="宋体" w:hAnsi="宋体" w:eastAsia="宋体" w:cs="宋体"/>
          <w:bCs/>
          <w:color w:val="000000"/>
          <w:sz w:val="24"/>
          <w:highlight w:val="none"/>
        </w:rPr>
        <w:t>期间应服从病房医务人员的业务指导，积极配合医院治疗工作，同时应主动接受</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的检查、监督及指导。</w:t>
      </w:r>
    </w:p>
    <w:p w14:paraId="6162C1F7">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（七）乙方</w:t>
      </w:r>
      <w:r>
        <w:rPr>
          <w:rFonts w:hint="eastAsia" w:ascii="宋体" w:hAnsi="宋体" w:eastAsia="宋体" w:cs="宋体"/>
          <w:bCs/>
          <w:color w:val="000000"/>
          <w:sz w:val="24"/>
          <w:highlight w:val="none"/>
          <w:lang w:val="en-US" w:eastAsia="zh-CN"/>
        </w:rPr>
        <w:t>陪护公司应为每位乙方陪护人员购买意外险并提供保险合同，并对其进行岗前培训，岗前培训合格者方可上岗；乙方陪护公司需对乙方陪护人员进行定期体检，并提供体检报告单，确保乙方陪护人员能够胜任医院陪护工作。乙方陪护公司还应与陪护人员存在雇佣合同关系，且需向甲方提供双方雇佣合同复印件。</w:t>
      </w:r>
    </w:p>
    <w:p w14:paraId="79295525">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八）乙方陪护公司及乙方陪护人员不得以任何形式将甲方所有住院休养人员的个人信息及影像资料发布在公开网络平台，或泄露给其他第三方机构。如若发布或泄漏，甲方有权追究发布者、泄漏者的刑事责任和民事责任。</w:t>
      </w:r>
    </w:p>
    <w:p w14:paraId="19F25433">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val="en-US" w:eastAsia="zh-CN"/>
        </w:rPr>
        <w:t>二、</w:t>
      </w:r>
      <w:r>
        <w:rPr>
          <w:rFonts w:hint="eastAsia" w:ascii="宋体" w:hAnsi="宋体" w:eastAsia="宋体" w:cs="宋体"/>
          <w:bCs/>
          <w:color w:val="000000"/>
          <w:sz w:val="24"/>
          <w:highlight w:val="none"/>
          <w:lang w:eastAsia="zh-CN"/>
        </w:rPr>
        <w:t>服务内容</w:t>
      </w:r>
    </w:p>
    <w:p w14:paraId="5A6F26E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1、生活照料：为休养人员提供24小时日常起居活动，包括但不限于清洁洗漱、喂食喂水、大小便护理、协助翻身、更换衣物等。</w:t>
      </w:r>
    </w:p>
    <w:p w14:paraId="73B8E7C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2、医疗护理协助：在护士的指导下进行基础护理操作，如测量体温、协助服药、留取各种标本、陪同检查、观察病情变化并及时报告。</w:t>
      </w:r>
    </w:p>
    <w:p w14:paraId="1FCA8E0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3、康复护理支持：根据康复计划，帮助修养人员进行康复训练，如拍背、肢体功能锻炼、语言训练等，督促其按时完成康复任务。</w:t>
      </w:r>
    </w:p>
    <w:p w14:paraId="45FCBFDF">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4、心理关怀：与修养人员进行沟通交流，了解其心理状态，提供心理疏导，缓解焦虑烦躁等不良情绪。</w:t>
      </w:r>
    </w:p>
    <w:p w14:paraId="7A10D09A">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5、其他服务：</w:t>
      </w:r>
    </w:p>
    <w:p w14:paraId="035399B8">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协助护士完成晨间护理：如洗漱、更换床单被罩，更换衣服，环境卫生的清扫及擦拭消毒等。</w:t>
      </w:r>
    </w:p>
    <w:p w14:paraId="4B6E45F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做好休养人员信息管理和门禁管理工作。</w:t>
      </w:r>
    </w:p>
    <w:p w14:paraId="2F4D493B">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三、服务</w:t>
      </w:r>
      <w:r>
        <w:rPr>
          <w:rFonts w:hint="eastAsia" w:ascii="宋体" w:hAnsi="宋体" w:eastAsia="宋体" w:cs="宋体"/>
          <w:bCs/>
          <w:color w:val="000000"/>
          <w:sz w:val="24"/>
          <w:highlight w:val="none"/>
        </w:rPr>
        <w:t>人员</w:t>
      </w:r>
      <w:r>
        <w:rPr>
          <w:rFonts w:hint="eastAsia" w:ascii="宋体" w:hAnsi="宋体" w:eastAsia="宋体" w:cs="宋体"/>
          <w:bCs/>
          <w:color w:val="000000"/>
          <w:sz w:val="24"/>
          <w:highlight w:val="none"/>
          <w:lang w:val="en-US" w:eastAsia="zh-CN"/>
        </w:rPr>
        <w:t>资质</w:t>
      </w:r>
      <w:r>
        <w:rPr>
          <w:rFonts w:hint="eastAsia" w:ascii="宋体" w:hAnsi="宋体" w:eastAsia="宋体" w:cs="宋体"/>
          <w:bCs/>
          <w:color w:val="000000"/>
          <w:sz w:val="24"/>
          <w:highlight w:val="none"/>
        </w:rPr>
        <w:t>要求</w:t>
      </w:r>
    </w:p>
    <w:p w14:paraId="1C1C800B">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1.资格要求：所有陪护人员需持护士资格证、养老护理员证或其他相关专业资格证书，具备相应的专业知识和技能。</w:t>
      </w:r>
    </w:p>
    <w:p w14:paraId="3BA9CD3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2.经验要求：具有一年以上的陪护服务工作经验，熟悉各类休养人员的护理需求和特点，能独立应对常见突发情况。</w:t>
      </w:r>
    </w:p>
    <w:p w14:paraId="40A88ACD">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3.素质要求：热爱护理工作，具备良好的职业道德和责任心，身体健康，确保无传染性疾病。</w:t>
      </w:r>
    </w:p>
    <w:p w14:paraId="7F0695B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四、服务质量要求</w:t>
      </w:r>
    </w:p>
    <w:p w14:paraId="1DEB7D92">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1.接到服务需求后，一小时内要到达服务地点。</w:t>
      </w:r>
    </w:p>
    <w:p w14:paraId="0A7AABBE">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2.护理记录：每天详细记录休养人员的护理情况，包括饮食、睡眠、病情变化、护理措施等。</w:t>
      </w:r>
    </w:p>
    <w:p w14:paraId="1D7B8E0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lang w:eastAsia="zh-CN"/>
        </w:rPr>
        <w:t>要有</w:t>
      </w:r>
      <w:r>
        <w:rPr>
          <w:rFonts w:hint="eastAsia" w:ascii="宋体" w:hAnsi="宋体" w:eastAsia="宋体" w:cs="宋体"/>
          <w:bCs/>
          <w:color w:val="000000"/>
          <w:sz w:val="24"/>
          <w:highlight w:val="none"/>
        </w:rPr>
        <w:t>完善的管理制度和考核体系</w:t>
      </w:r>
      <w:r>
        <w:rPr>
          <w:rFonts w:hint="eastAsia" w:ascii="宋体" w:hAnsi="宋体" w:eastAsia="宋体" w:cs="宋体"/>
          <w:bCs/>
          <w:color w:val="000000"/>
          <w:sz w:val="24"/>
          <w:highlight w:val="none"/>
          <w:lang w:val="en-US" w:eastAsia="zh-CN"/>
        </w:rPr>
        <w:t>及</w:t>
      </w:r>
      <w:r>
        <w:rPr>
          <w:rFonts w:hint="eastAsia" w:ascii="宋体" w:hAnsi="宋体" w:eastAsia="宋体" w:cs="宋体"/>
          <w:bCs/>
          <w:color w:val="000000"/>
          <w:sz w:val="24"/>
          <w:highlight w:val="none"/>
        </w:rPr>
        <w:t>突发事件应急预案和处置机制。</w:t>
      </w:r>
    </w:p>
    <w:p w14:paraId="158A1BA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4.针对每一位休养人员制定合理的服务方案。</w:t>
      </w:r>
    </w:p>
    <w:p w14:paraId="379224DA">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5.康复训练陪护每日单价固定，不因休养人员数量而改变。</w:t>
      </w:r>
    </w:p>
    <w:p w14:paraId="71B1CD2A">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五</w:t>
      </w:r>
      <w:r>
        <w:rPr>
          <w:rFonts w:hint="eastAsia" w:ascii="宋体" w:hAnsi="宋体" w:eastAsia="宋体" w:cs="宋体"/>
          <w:bCs/>
          <w:color w:val="000000"/>
          <w:sz w:val="24"/>
          <w:highlight w:val="none"/>
        </w:rPr>
        <w:t>、服务细节流程</w:t>
      </w:r>
    </w:p>
    <w:p w14:paraId="7087257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val="en-US" w:eastAsia="zh-CN"/>
        </w:rPr>
        <w:t>1.</w:t>
      </w:r>
      <w:r>
        <w:rPr>
          <w:rFonts w:hint="eastAsia" w:ascii="宋体" w:hAnsi="宋体" w:eastAsia="宋体" w:cs="宋体"/>
          <w:bCs/>
          <w:color w:val="000000"/>
          <w:sz w:val="24"/>
          <w:highlight w:val="none"/>
        </w:rPr>
        <w:t>入院前准备：接到陪护任务后，</w:t>
      </w:r>
      <w:r>
        <w:rPr>
          <w:rFonts w:hint="eastAsia" w:ascii="宋体" w:hAnsi="宋体" w:eastAsia="宋体" w:cs="宋体"/>
          <w:bCs/>
          <w:color w:val="000000"/>
          <w:sz w:val="24"/>
          <w:highlight w:val="none"/>
          <w:lang w:eastAsia="zh-CN"/>
        </w:rPr>
        <w:t>乙方</w:t>
      </w:r>
      <w:r>
        <w:rPr>
          <w:rFonts w:hint="eastAsia" w:ascii="宋体" w:hAnsi="宋体" w:eastAsia="宋体" w:cs="宋体"/>
          <w:bCs/>
          <w:color w:val="000000"/>
          <w:sz w:val="24"/>
          <w:highlight w:val="none"/>
        </w:rPr>
        <w:t>陪护人员与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工作人员沟通，了解</w:t>
      </w:r>
      <w:r>
        <w:rPr>
          <w:rFonts w:hint="eastAsia" w:ascii="宋体" w:hAnsi="宋体" w:eastAsia="宋体" w:cs="宋体"/>
          <w:bCs/>
          <w:color w:val="000000"/>
          <w:sz w:val="24"/>
          <w:highlight w:val="none"/>
          <w:lang w:eastAsia="zh-CN"/>
        </w:rPr>
        <w:t>甲方休养</w:t>
      </w:r>
      <w:r>
        <w:rPr>
          <w:rFonts w:hint="eastAsia" w:ascii="宋体" w:hAnsi="宋体" w:eastAsia="宋体" w:cs="宋体"/>
          <w:bCs/>
          <w:color w:val="000000"/>
          <w:sz w:val="24"/>
          <w:highlight w:val="none"/>
        </w:rPr>
        <w:t>人员的基本情况，如病情、生活习惯、特殊需求等；</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提前到达医院，熟悉就医环境</w:t>
      </w:r>
      <w:r>
        <w:rPr>
          <w:rFonts w:hint="eastAsia" w:ascii="宋体" w:hAnsi="宋体" w:eastAsia="宋体" w:cs="宋体"/>
          <w:bCs/>
          <w:color w:val="000000"/>
          <w:sz w:val="24"/>
          <w:highlight w:val="none"/>
          <w:lang w:eastAsia="zh-CN"/>
        </w:rPr>
        <w:t>。</w:t>
      </w:r>
    </w:p>
    <w:p w14:paraId="1E946405">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2.</w:t>
      </w:r>
      <w:r>
        <w:rPr>
          <w:rFonts w:hint="eastAsia" w:ascii="宋体" w:hAnsi="宋体" w:eastAsia="宋体" w:cs="宋体"/>
          <w:bCs/>
          <w:color w:val="000000"/>
          <w:sz w:val="24"/>
          <w:highlight w:val="none"/>
        </w:rPr>
        <w:t>陪同检查治疗：按照医嘱，</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陪同</w:t>
      </w:r>
      <w:r>
        <w:rPr>
          <w:rFonts w:hint="eastAsia" w:ascii="宋体" w:hAnsi="宋体" w:eastAsia="宋体" w:cs="宋体"/>
          <w:bCs/>
          <w:color w:val="000000"/>
          <w:sz w:val="24"/>
          <w:highlight w:val="none"/>
          <w:lang w:eastAsia="zh-CN"/>
        </w:rPr>
        <w:t>甲方住院休养</w:t>
      </w:r>
      <w:r>
        <w:rPr>
          <w:rFonts w:hint="eastAsia" w:ascii="宋体" w:hAnsi="宋体" w:eastAsia="宋体" w:cs="宋体"/>
          <w:bCs/>
          <w:color w:val="000000"/>
          <w:sz w:val="24"/>
          <w:highlight w:val="none"/>
        </w:rPr>
        <w:t>人员进行各项检查和治疗，</w:t>
      </w:r>
      <w:r>
        <w:rPr>
          <w:rFonts w:hint="eastAsia" w:ascii="宋体" w:hAnsi="宋体" w:eastAsia="宋体" w:cs="宋体"/>
          <w:bCs/>
          <w:color w:val="000000"/>
          <w:sz w:val="24"/>
          <w:highlight w:val="none"/>
          <w:lang w:eastAsia="zh-CN"/>
        </w:rPr>
        <w:t>并</w:t>
      </w:r>
      <w:r>
        <w:rPr>
          <w:rFonts w:hint="eastAsia" w:ascii="宋体" w:hAnsi="宋体" w:eastAsia="宋体" w:cs="宋体"/>
          <w:bCs/>
          <w:color w:val="000000"/>
          <w:sz w:val="24"/>
          <w:highlight w:val="none"/>
        </w:rPr>
        <w:t>协助其做好检查前的准备工作；在</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检查治疗过程中，</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安抚其情绪，确保</w:t>
      </w:r>
      <w:r>
        <w:rPr>
          <w:rFonts w:hint="eastAsia" w:ascii="宋体" w:hAnsi="宋体" w:eastAsia="宋体" w:cs="宋体"/>
          <w:bCs/>
          <w:color w:val="000000"/>
          <w:sz w:val="24"/>
          <w:highlight w:val="none"/>
          <w:lang w:eastAsia="zh-CN"/>
        </w:rPr>
        <w:t>能</w:t>
      </w:r>
      <w:r>
        <w:rPr>
          <w:rFonts w:hint="eastAsia" w:ascii="宋体" w:hAnsi="宋体" w:eastAsia="宋体" w:cs="宋体"/>
          <w:bCs/>
          <w:color w:val="000000"/>
          <w:sz w:val="24"/>
          <w:highlight w:val="none"/>
        </w:rPr>
        <w:t>配合医护人员的操作；</w:t>
      </w:r>
      <w:r>
        <w:rPr>
          <w:rFonts w:hint="eastAsia" w:ascii="宋体" w:hAnsi="宋体" w:eastAsia="宋体" w:cs="宋体"/>
          <w:bCs/>
          <w:color w:val="000000"/>
          <w:sz w:val="24"/>
          <w:highlight w:val="none"/>
          <w:lang w:eastAsia="zh-CN"/>
        </w:rPr>
        <w:t>乙方陪护人员还应</w:t>
      </w:r>
      <w:r>
        <w:rPr>
          <w:rFonts w:hint="eastAsia" w:ascii="宋体" w:hAnsi="宋体" w:eastAsia="宋体" w:cs="宋体"/>
          <w:bCs/>
          <w:color w:val="000000"/>
          <w:sz w:val="24"/>
          <w:highlight w:val="none"/>
        </w:rPr>
        <w:t>及时向医护人员反馈</w:t>
      </w:r>
      <w:r>
        <w:rPr>
          <w:rFonts w:hint="eastAsia" w:ascii="宋体" w:hAnsi="宋体" w:eastAsia="宋体" w:cs="宋体"/>
          <w:bCs/>
          <w:color w:val="000000"/>
          <w:sz w:val="24"/>
          <w:highlight w:val="none"/>
          <w:lang w:eastAsia="zh-CN"/>
        </w:rPr>
        <w:t>甲方住院休养人员的</w:t>
      </w:r>
      <w:r>
        <w:rPr>
          <w:rFonts w:hint="eastAsia" w:ascii="宋体" w:hAnsi="宋体" w:eastAsia="宋体" w:cs="宋体"/>
          <w:bCs/>
          <w:color w:val="000000"/>
          <w:sz w:val="24"/>
          <w:highlight w:val="none"/>
        </w:rPr>
        <w:t>身体状况和不适反应。</w:t>
      </w:r>
    </w:p>
    <w:p w14:paraId="7B4A494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rPr>
        <w:t>生活照料：</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协助</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进行日常生活护理，如洗漱、进食、穿衣、翻身、大小便等；根据其口味和病情，合理安排饮食，保证营养摄入；注意观察其皮肤状况，预防压疮等并发症的发生。</w:t>
      </w:r>
      <w:r>
        <w:rPr>
          <w:rFonts w:hint="eastAsia" w:ascii="宋体" w:hAnsi="宋体" w:eastAsia="宋体" w:cs="宋体"/>
          <w:bCs/>
          <w:color w:val="000000"/>
          <w:sz w:val="24"/>
          <w:highlight w:val="none"/>
          <w:lang w:val="en-US" w:eastAsia="zh-CN"/>
        </w:rPr>
        <w:t>以下为具体安排：</w:t>
      </w:r>
    </w:p>
    <w:p w14:paraId="7306BA95">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06:00 - 07:30：进行洗漱，包括刷牙、洗脸、洗手、梳头，对于行动不便无法自行完成的人员给予全程帮助；整理个人卫生用品，保持洗漱区域的整洁；为能自行活动的人员准备好衣物，协助穿衣，注意根据天气和身体状况选择合适的衣物。</w:t>
      </w:r>
    </w:p>
    <w:p w14:paraId="4264249D">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07:30 - 09:00：根据口味和病情，合理准备早餐，对于有特殊饮食要求的人员，严格按照医嘱准备；协助进食，对于不能自行进食的人员，耐心喂食，注意进食速度和食量，防止呛噎；进食结束后，清理口腔和用餐区域，保持干净。</w:t>
      </w:r>
    </w:p>
    <w:p w14:paraId="4EE51B4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09:00 - 11:00：根据身体状况和医嘱，安排适当的活动，如在病房内或走廊散步、进行简单的康复训练等；活动过程中注意观察其身体反应，如有不适及时停止并报告医护人员；返回病房后，协助休息，调整舒适的体位。</w:t>
      </w:r>
    </w:p>
    <w:p w14:paraId="26BF924B">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11:00 - 12:30：准备午餐，同样遵循口味和病情的要求；协助洗手，做好用餐准备；协助进食，过程中关注其食欲和进食情况；用餐结束后，清理口腔和用餐区域，为其安排舒适的休息姿势。</w:t>
      </w:r>
    </w:p>
    <w:p w14:paraId="50AB68FD">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12:30 - 14:30：帮助调整至舒适的睡眠姿势，拉好窗帘，营造安静的睡眠环境；在休息期间，定时巡视，观察其睡眠状态，如有异常及时处理。</w:t>
      </w:r>
    </w:p>
    <w:p w14:paraId="38672F8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14:30 - 16:00：协助起床，进行简单的活动和洗漱，如洗手、洗脸；为其准备适量的水果或点心，补充能量；根据身体状况，安排适当的室内活动，如看书、下棋等。</w:t>
      </w:r>
    </w:p>
    <w:p w14:paraId="3876B1D8">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16:00 - 17:30：协助进行身体清洁，如擦拭身体、更换衣物等，尤其是容易出汗或有排泄失禁情况的人员；注意观察皮肤状况，重点检查受压部位，如背部、臀部、足跟等，预防压疮的发生；如有皮肤发红、破损等情况，及时报告医护人员并采取相应措施。</w:t>
      </w:r>
    </w:p>
    <w:p w14:paraId="7D92267B">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17:30 - 19:00：准备晚餐，协助用餐，过程同午餐；用餐结束后，清理口腔和用餐区域，保持卫生。</w:t>
      </w:r>
    </w:p>
    <w:p w14:paraId="3256AB43">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19:00 - 20:30：协助进行晚间洗漱，包括刷牙、洗脸、洗脚、清洗会阴等；帮助其换上干净的睡衣，整理床铺，营造舒适的睡眠环境。</w:t>
      </w:r>
    </w:p>
    <w:p w14:paraId="64CC5AE5">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20:30 - 06:00（夜间）：每隔 30分钟巡视一次，观察睡眠情况和身体状况，如有翻身需求，及时协助翻身；对于有夜间排尿需求的人员，协助其如厕或使用便盆；如发现异常情况，如发热、呼吸困难等，立即报告医护人员进行处理。</w:t>
      </w:r>
    </w:p>
    <w:p w14:paraId="15E6E619">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4.</w:t>
      </w:r>
      <w:r>
        <w:rPr>
          <w:rFonts w:hint="eastAsia" w:ascii="宋体" w:hAnsi="宋体" w:eastAsia="宋体" w:cs="宋体"/>
          <w:bCs/>
          <w:color w:val="000000"/>
          <w:sz w:val="24"/>
          <w:highlight w:val="none"/>
        </w:rPr>
        <w:t>心理关怀：</w:t>
      </w:r>
      <w:r>
        <w:rPr>
          <w:rFonts w:hint="eastAsia" w:ascii="宋体" w:hAnsi="宋体" w:eastAsia="宋体" w:cs="宋体"/>
          <w:bCs/>
          <w:color w:val="000000"/>
          <w:sz w:val="24"/>
          <w:highlight w:val="none"/>
          <w:lang w:eastAsia="zh-CN"/>
        </w:rPr>
        <w:t>乙方陪护人员应</w:t>
      </w:r>
      <w:r>
        <w:rPr>
          <w:rFonts w:hint="eastAsia" w:ascii="宋体" w:hAnsi="宋体" w:eastAsia="宋体" w:cs="宋体"/>
          <w:bCs/>
          <w:color w:val="000000"/>
          <w:sz w:val="24"/>
          <w:highlight w:val="none"/>
        </w:rPr>
        <w:t>关注</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的情绪变化，给予心理支持和安慰；鼓励其表达内心感受，帮助其树立战胜疾病的信心；与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工作人员和家属保持沟通，及时反馈</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的心理状态。</w:t>
      </w:r>
    </w:p>
    <w:p w14:paraId="3F20E0AF">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5.</w:t>
      </w:r>
      <w:r>
        <w:rPr>
          <w:rFonts w:hint="eastAsia" w:ascii="宋体" w:hAnsi="宋体" w:eastAsia="宋体" w:cs="宋体"/>
          <w:bCs/>
          <w:color w:val="000000"/>
          <w:sz w:val="24"/>
          <w:highlight w:val="none"/>
        </w:rPr>
        <w:t>安全保障：</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确保</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在医院内的安全，防止走失、摔倒、烫伤等意外事件的发生；</w:t>
      </w:r>
      <w:r>
        <w:rPr>
          <w:rFonts w:hint="eastAsia" w:ascii="宋体" w:hAnsi="宋体" w:eastAsia="宋体" w:cs="宋体"/>
          <w:bCs/>
          <w:color w:val="000000"/>
          <w:sz w:val="24"/>
          <w:highlight w:val="none"/>
          <w:lang w:eastAsia="zh-CN"/>
        </w:rPr>
        <w:t>且</w:t>
      </w:r>
      <w:r>
        <w:rPr>
          <w:rFonts w:hint="eastAsia" w:ascii="宋体" w:hAnsi="宋体" w:eastAsia="宋体" w:cs="宋体"/>
          <w:bCs/>
          <w:color w:val="000000"/>
          <w:sz w:val="24"/>
          <w:highlight w:val="none"/>
        </w:rPr>
        <w:t>保管好个人物品，防止丢失或损坏；</w:t>
      </w: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严格遵守医院的规章制度，不擅自离开陪护岗位。</w:t>
      </w:r>
    </w:p>
    <w:p w14:paraId="10F1570D">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6.</w:t>
      </w:r>
      <w:r>
        <w:rPr>
          <w:rFonts w:hint="eastAsia" w:ascii="宋体" w:hAnsi="宋体" w:eastAsia="宋体" w:cs="宋体"/>
          <w:bCs/>
          <w:color w:val="000000"/>
          <w:sz w:val="24"/>
          <w:highlight w:val="none"/>
        </w:rPr>
        <w:t>出院准备：接到出院通知后，</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协助</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办理出院手续，领取药品和相关资料；准备好出院所需物品，护送其安全返回</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；与</w:t>
      </w:r>
      <w:r>
        <w:rPr>
          <w:rFonts w:hint="eastAsia" w:ascii="宋体" w:hAnsi="宋体" w:eastAsia="宋体" w:cs="宋体"/>
          <w:bCs/>
          <w:color w:val="000000"/>
          <w:sz w:val="24"/>
          <w:highlight w:val="none"/>
          <w:lang w:eastAsia="zh-CN"/>
        </w:rPr>
        <w:t>甲方</w:t>
      </w:r>
      <w:r>
        <w:rPr>
          <w:rFonts w:hint="eastAsia" w:ascii="宋体" w:hAnsi="宋体" w:eastAsia="宋体" w:cs="宋体"/>
          <w:bCs/>
          <w:color w:val="000000"/>
          <w:sz w:val="24"/>
          <w:highlight w:val="none"/>
        </w:rPr>
        <w:t>工作人员做好交接工作，详细介绍</w:t>
      </w:r>
      <w:r>
        <w:rPr>
          <w:rFonts w:hint="eastAsia" w:ascii="宋体" w:hAnsi="宋体" w:eastAsia="宋体" w:cs="宋体"/>
          <w:bCs/>
          <w:color w:val="000000"/>
          <w:sz w:val="24"/>
          <w:highlight w:val="none"/>
          <w:lang w:eastAsia="zh-CN"/>
        </w:rPr>
        <w:t>甲方休养人员</w:t>
      </w:r>
      <w:r>
        <w:rPr>
          <w:rFonts w:hint="eastAsia" w:ascii="宋体" w:hAnsi="宋体" w:eastAsia="宋体" w:cs="宋体"/>
          <w:bCs/>
          <w:color w:val="000000"/>
          <w:sz w:val="24"/>
          <w:highlight w:val="none"/>
        </w:rPr>
        <w:t>在医院的治疗情况和出院后的注意事项。</w:t>
      </w:r>
    </w:p>
    <w:p w14:paraId="20F47E61">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 xml:space="preserve"> </w:t>
      </w:r>
      <w:r>
        <w:rPr>
          <w:rFonts w:hint="eastAsia" w:ascii="宋体" w:hAnsi="宋体" w:eastAsia="宋体" w:cs="宋体"/>
          <w:bCs/>
          <w:color w:val="000000"/>
          <w:sz w:val="24"/>
          <w:highlight w:val="none"/>
          <w:lang w:val="en-US" w:eastAsia="zh-CN"/>
        </w:rPr>
        <w:t>7.</w:t>
      </w:r>
      <w:r>
        <w:rPr>
          <w:rFonts w:hint="eastAsia" w:ascii="宋体" w:hAnsi="宋体" w:eastAsia="宋体" w:cs="宋体"/>
          <w:bCs/>
          <w:color w:val="000000"/>
          <w:sz w:val="24"/>
          <w:highlight w:val="none"/>
        </w:rPr>
        <w:t>工作情况记录</w:t>
      </w:r>
    </w:p>
    <w:p w14:paraId="63E9AB4F">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eastAsia="zh-CN"/>
        </w:rPr>
        <w:t>乙方陪护人员需</w:t>
      </w:r>
      <w:r>
        <w:rPr>
          <w:rFonts w:hint="eastAsia" w:ascii="宋体" w:hAnsi="宋体" w:eastAsia="宋体" w:cs="宋体"/>
          <w:bCs/>
          <w:color w:val="000000"/>
          <w:sz w:val="24"/>
          <w:highlight w:val="none"/>
        </w:rPr>
        <w:t>建立详细的工作记录表格，记录内容包括</w:t>
      </w:r>
      <w:r>
        <w:rPr>
          <w:rFonts w:hint="eastAsia" w:ascii="宋体" w:hAnsi="宋体" w:eastAsia="宋体" w:cs="宋体"/>
          <w:bCs/>
          <w:color w:val="000000"/>
          <w:sz w:val="24"/>
          <w:highlight w:val="none"/>
          <w:lang w:eastAsia="zh-CN"/>
        </w:rPr>
        <w:t>甲方住院休养人员</w:t>
      </w:r>
      <w:r>
        <w:rPr>
          <w:rFonts w:hint="eastAsia" w:ascii="宋体" w:hAnsi="宋体" w:eastAsia="宋体" w:cs="宋体"/>
          <w:bCs/>
          <w:color w:val="000000"/>
          <w:sz w:val="24"/>
          <w:highlight w:val="none"/>
        </w:rPr>
        <w:t>的基本信息、病情变化、饮食情况（每餐的食物种类、进食量）、活动情况（活动内容、时间、强度）、服药情况（药物名称、剂量、时间）、身体清洁情况（清洁时间、皮肤状况）、睡眠情况（入睡时间、醒来次数、睡眠质量）以及与医护人员、家属的沟通情况等。每次完成一项工作任务后，</w:t>
      </w:r>
      <w:r>
        <w:rPr>
          <w:rFonts w:hint="eastAsia" w:ascii="宋体" w:hAnsi="宋体" w:eastAsia="宋体" w:cs="宋体"/>
          <w:bCs/>
          <w:color w:val="000000"/>
          <w:sz w:val="24"/>
          <w:highlight w:val="none"/>
          <w:lang w:eastAsia="zh-CN"/>
        </w:rPr>
        <w:t>乙方陪护人员要</w:t>
      </w:r>
      <w:r>
        <w:rPr>
          <w:rFonts w:hint="eastAsia" w:ascii="宋体" w:hAnsi="宋体" w:eastAsia="宋体" w:cs="宋体"/>
          <w:bCs/>
          <w:color w:val="000000"/>
          <w:sz w:val="24"/>
          <w:highlight w:val="none"/>
        </w:rPr>
        <w:t>及时在记录表格中进行填写，确保记录的准确性和及时性。对于异常情况，如病情加重、情绪波动等，详细记录发生时间、表现和处理措施</w:t>
      </w:r>
      <w:r>
        <w:rPr>
          <w:rFonts w:hint="eastAsia" w:ascii="宋体" w:hAnsi="宋体" w:eastAsia="宋体" w:cs="宋体"/>
          <w:bCs/>
          <w:color w:val="000000"/>
          <w:sz w:val="24"/>
          <w:highlight w:val="none"/>
          <w:lang w:eastAsia="zh-CN"/>
        </w:rPr>
        <w:t>。</w:t>
      </w:r>
      <w:r>
        <w:rPr>
          <w:rFonts w:hint="eastAsia" w:ascii="宋体" w:hAnsi="宋体" w:eastAsia="宋体" w:cs="宋体"/>
          <w:bCs/>
          <w:color w:val="000000"/>
          <w:sz w:val="24"/>
          <w:highlight w:val="none"/>
        </w:rPr>
        <w:t>每天下班前，</w:t>
      </w:r>
      <w:r>
        <w:rPr>
          <w:rFonts w:hint="eastAsia" w:ascii="宋体" w:hAnsi="宋体" w:eastAsia="宋体" w:cs="宋体"/>
          <w:bCs/>
          <w:color w:val="000000"/>
          <w:sz w:val="24"/>
          <w:highlight w:val="none"/>
          <w:lang w:eastAsia="zh-CN"/>
        </w:rPr>
        <w:t>乙方陪护人员</w:t>
      </w:r>
      <w:r>
        <w:rPr>
          <w:rFonts w:hint="eastAsia" w:ascii="宋体" w:hAnsi="宋体" w:eastAsia="宋体" w:cs="宋体"/>
          <w:bCs/>
          <w:color w:val="000000"/>
          <w:sz w:val="24"/>
          <w:highlight w:val="none"/>
        </w:rPr>
        <w:t>对当天的工作记录进行整理和总结，确保服务的连续性。</w:t>
      </w:r>
    </w:p>
    <w:p w14:paraId="5930642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六、合同价款</w:t>
      </w:r>
    </w:p>
    <w:p w14:paraId="1E7940D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采购包</w:t>
      </w:r>
      <w:r>
        <w:rPr>
          <w:rFonts w:hint="eastAsia" w:ascii="宋体" w:hAnsi="宋体" w:eastAsia="宋体" w:cs="宋体"/>
          <w:bCs/>
          <w:color w:val="000000"/>
          <w:sz w:val="24"/>
          <w:highlight w:val="none"/>
          <w:lang w:val="en-US" w:eastAsia="zh-CN"/>
        </w:rPr>
        <w:t>1：</w:t>
      </w:r>
      <w:r>
        <w:rPr>
          <w:rFonts w:hint="eastAsia" w:ascii="宋体" w:hAnsi="宋体" w:eastAsia="宋体" w:cs="宋体"/>
          <w:bCs/>
          <w:color w:val="000000"/>
          <w:sz w:val="24"/>
          <w:highlight w:val="none"/>
          <w:lang w:eastAsia="zh-CN"/>
        </w:rPr>
        <w:t>普通病房陪护：实行一对二24小时全程陪护，护理费用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元/(人·天）；</w:t>
      </w:r>
    </w:p>
    <w:p w14:paraId="25FB11CF">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采购包</w:t>
      </w:r>
      <w:r>
        <w:rPr>
          <w:rFonts w:hint="eastAsia" w:ascii="宋体" w:hAnsi="宋体" w:eastAsia="宋体" w:cs="宋体"/>
          <w:bCs/>
          <w:color w:val="000000"/>
          <w:sz w:val="24"/>
          <w:highlight w:val="none"/>
          <w:lang w:val="en-US" w:eastAsia="zh-CN"/>
        </w:rPr>
        <w:t>2：</w:t>
      </w:r>
      <w:r>
        <w:rPr>
          <w:rFonts w:hint="eastAsia" w:ascii="宋体" w:hAnsi="宋体" w:eastAsia="宋体" w:cs="宋体"/>
          <w:bCs/>
          <w:color w:val="000000"/>
          <w:sz w:val="24"/>
          <w:highlight w:val="none"/>
          <w:lang w:eastAsia="zh-CN"/>
        </w:rPr>
        <w:t>重症病房陪护：实行一对一24小时全程陪护，护理费用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元/(人·天）；</w:t>
      </w:r>
    </w:p>
    <w:p w14:paraId="46A4D31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采购包</w:t>
      </w:r>
      <w:r>
        <w:rPr>
          <w:rFonts w:hint="eastAsia" w:ascii="宋体" w:hAnsi="宋体" w:eastAsia="宋体" w:cs="宋体"/>
          <w:bCs/>
          <w:color w:val="000000"/>
          <w:sz w:val="24"/>
          <w:highlight w:val="none"/>
          <w:lang w:val="en-US" w:eastAsia="zh-CN"/>
        </w:rPr>
        <w:t>3：</w:t>
      </w:r>
      <w:r>
        <w:rPr>
          <w:rFonts w:hint="eastAsia" w:ascii="宋体" w:hAnsi="宋体" w:eastAsia="宋体" w:cs="宋体"/>
          <w:bCs/>
          <w:color w:val="000000"/>
          <w:sz w:val="24"/>
          <w:highlight w:val="none"/>
          <w:lang w:eastAsia="zh-CN"/>
        </w:rPr>
        <w:t>传染病房陪护：实行一对一24小时全程陪护，护理费用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元/(人·天）；</w:t>
      </w:r>
    </w:p>
    <w:p w14:paraId="26DBE204">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采购包</w:t>
      </w:r>
      <w:r>
        <w:rPr>
          <w:rFonts w:hint="eastAsia" w:ascii="宋体" w:hAnsi="宋体" w:eastAsia="宋体" w:cs="宋体"/>
          <w:bCs/>
          <w:color w:val="000000"/>
          <w:sz w:val="24"/>
          <w:highlight w:val="none"/>
          <w:lang w:val="en-US" w:eastAsia="zh-CN"/>
        </w:rPr>
        <w:t>4：</w:t>
      </w:r>
      <w:r>
        <w:rPr>
          <w:rFonts w:hint="eastAsia" w:ascii="宋体" w:hAnsi="宋体" w:eastAsia="宋体" w:cs="宋体"/>
          <w:bCs/>
          <w:color w:val="000000"/>
          <w:sz w:val="24"/>
          <w:highlight w:val="none"/>
          <w:lang w:eastAsia="zh-CN"/>
        </w:rPr>
        <w:t>康复训练陪护：实行一对三按时按需陪护，护理费用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元/(人·天）。</w:t>
      </w:r>
    </w:p>
    <w:p w14:paraId="2BEFED86">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4个采购包的</w:t>
      </w:r>
      <w:r>
        <w:rPr>
          <w:rFonts w:hint="eastAsia" w:ascii="宋体" w:hAnsi="宋体" w:eastAsia="宋体" w:cs="宋体"/>
          <w:bCs/>
          <w:color w:val="000000"/>
          <w:sz w:val="24"/>
          <w:highlight w:val="none"/>
          <w:lang w:eastAsia="zh-CN"/>
        </w:rPr>
        <w:t>项目总价为</w:t>
      </w:r>
      <w:r>
        <w:rPr>
          <w:rFonts w:hint="eastAsia" w:ascii="宋体" w:hAnsi="宋体" w:eastAsia="宋体" w:cs="宋体"/>
          <w:bCs/>
          <w:color w:val="000000"/>
          <w:sz w:val="24"/>
          <w:highlight w:val="none"/>
          <w:lang w:val="en-US" w:eastAsia="zh-CN"/>
        </w:rPr>
        <w:t>160万人民币（不包含甲方住院休养人员餐饮费用，不包含甲方住院休养人员应急日杂费用）。</w:t>
      </w:r>
    </w:p>
    <w:p w14:paraId="6334D8D3">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val="en-US" w:eastAsia="zh-CN"/>
        </w:rPr>
        <w:t>七、付款方式</w:t>
      </w:r>
    </w:p>
    <w:p w14:paraId="1D569468">
      <w:pPr>
        <w:snapToGrid w:val="0"/>
        <w:spacing w:line="360" w:lineRule="auto"/>
        <w:ind w:firstLine="480" w:firstLineChars="200"/>
        <w:rPr>
          <w:rFonts w:hint="eastAsia" w:ascii="宋体" w:hAnsi="宋体" w:cs="宋体"/>
          <w:bCs/>
          <w:color w:val="000000"/>
          <w:sz w:val="24"/>
          <w:highlight w:val="none"/>
          <w:lang w:eastAsia="zh-CN"/>
        </w:rPr>
      </w:pPr>
      <w:r>
        <w:rPr>
          <w:rFonts w:hint="eastAsia" w:ascii="宋体" w:hAnsi="宋体" w:cs="宋体"/>
          <w:bCs/>
          <w:color w:val="000000"/>
          <w:sz w:val="24"/>
          <w:highlight w:val="none"/>
          <w:lang w:val="en-US" w:eastAsia="zh-CN"/>
        </w:rPr>
        <w:t>1.</w:t>
      </w:r>
      <w:r>
        <w:rPr>
          <w:rFonts w:hint="eastAsia" w:ascii="宋体" w:hAnsi="宋体" w:cs="宋体"/>
          <w:bCs/>
          <w:color w:val="000000"/>
          <w:sz w:val="24"/>
          <w:highlight w:val="none"/>
          <w:lang w:eastAsia="zh-CN"/>
        </w:rPr>
        <w:t>按月支付，以当月出院人数及实际陪护天数，据实结算，结算时以投标时的最后报价单价×陪护天数进行结算。</w:t>
      </w:r>
    </w:p>
    <w:p w14:paraId="464B2D54">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cs="宋体"/>
          <w:bCs/>
          <w:color w:val="000000"/>
          <w:sz w:val="24"/>
          <w:highlight w:val="none"/>
          <w:lang w:val="en-US" w:eastAsia="zh-CN"/>
        </w:rPr>
        <w:t>2.</w:t>
      </w:r>
      <w:r>
        <w:rPr>
          <w:rFonts w:hint="eastAsia" w:ascii="宋体" w:hAnsi="宋体" w:eastAsia="宋体" w:cs="宋体"/>
          <w:bCs/>
          <w:color w:val="000000"/>
          <w:sz w:val="24"/>
          <w:highlight w:val="none"/>
          <w:lang w:eastAsia="zh-CN"/>
        </w:rPr>
        <w:t>经甲方核对无误后，分陪护费、饮食费、应急日杂费按月据实结算</w:t>
      </w:r>
      <w:r>
        <w:rPr>
          <w:rFonts w:hint="eastAsia" w:ascii="宋体" w:hAnsi="宋体" w:eastAsia="宋体" w:cs="宋体"/>
          <w:bCs/>
          <w:color w:val="000000"/>
          <w:sz w:val="24"/>
          <w:highlight w:val="none"/>
        </w:rPr>
        <w:t>，年度末结清所有费用。</w:t>
      </w:r>
    </w:p>
    <w:p w14:paraId="45802B86">
      <w:pPr>
        <w:snapToGrid w:val="0"/>
        <w:spacing w:line="360" w:lineRule="auto"/>
        <w:ind w:firstLine="480" w:firstLineChars="200"/>
        <w:rPr>
          <w:rFonts w:hint="eastAsia" w:ascii="宋体" w:hAnsi="宋体" w:eastAsia="宋体" w:cs="宋体"/>
          <w:bCs/>
          <w:color w:val="000000"/>
          <w:sz w:val="24"/>
          <w:highlight w:val="none"/>
        </w:rPr>
      </w:pPr>
      <w:r>
        <w:rPr>
          <w:rFonts w:hint="eastAsia" w:ascii="宋体" w:hAnsi="宋体" w:cs="宋体"/>
          <w:bCs/>
          <w:color w:val="000000"/>
          <w:sz w:val="24"/>
          <w:highlight w:val="none"/>
          <w:lang w:val="en-US" w:eastAsia="zh-CN"/>
        </w:rPr>
        <w:t>3.</w:t>
      </w:r>
      <w:r>
        <w:rPr>
          <w:rFonts w:hint="eastAsia" w:ascii="宋体" w:hAnsi="宋体" w:eastAsia="宋体" w:cs="宋体"/>
          <w:bCs/>
          <w:color w:val="000000"/>
          <w:sz w:val="24"/>
          <w:highlight w:val="none"/>
        </w:rPr>
        <w:t>最终结算金额不超过本项目采购预算。</w:t>
      </w:r>
    </w:p>
    <w:p w14:paraId="06C147E4">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八、服务期：</w:t>
      </w:r>
      <w:r>
        <w:rPr>
          <w:rFonts w:hint="eastAsia" w:ascii="宋体" w:hAnsi="宋体" w:eastAsia="宋体" w:cs="宋体"/>
          <w:bCs/>
          <w:color w:val="000000"/>
          <w:sz w:val="24"/>
          <w:highlight w:val="none"/>
          <w:lang w:val="en-US" w:eastAsia="zh-CN"/>
        </w:rPr>
        <w:t>合同签订之日起至2025年12月31日</w:t>
      </w:r>
      <w:r>
        <w:rPr>
          <w:rFonts w:hint="eastAsia" w:ascii="宋体" w:hAnsi="宋体" w:eastAsia="宋体" w:cs="宋体"/>
          <w:bCs/>
          <w:color w:val="000000"/>
          <w:sz w:val="24"/>
          <w:highlight w:val="none"/>
          <w:lang w:eastAsia="zh-CN"/>
        </w:rPr>
        <w:t>或累计结算金额达到合同金额，以先到达者为准</w:t>
      </w:r>
      <w:r>
        <w:rPr>
          <w:rFonts w:hint="eastAsia" w:ascii="宋体" w:hAnsi="宋体" w:eastAsia="宋体" w:cs="宋体"/>
          <w:bCs/>
          <w:color w:val="000000"/>
          <w:sz w:val="24"/>
          <w:highlight w:val="none"/>
          <w:lang w:val="en-US" w:eastAsia="zh-CN"/>
        </w:rPr>
        <w:t>。</w:t>
      </w:r>
    </w:p>
    <w:p w14:paraId="51FA1299">
      <w:pPr>
        <w:snapToGrid w:val="0"/>
        <w:spacing w:line="360" w:lineRule="auto"/>
        <w:ind w:firstLine="480" w:firstLineChars="200"/>
        <w:rPr>
          <w:rFonts w:hint="eastAsia" w:ascii="宋体" w:hAnsi="宋体" w:eastAsia="宋体" w:cs="宋体"/>
          <w:bCs/>
          <w:color w:val="000000"/>
          <w:sz w:val="24"/>
          <w:highlight w:val="none"/>
          <w:lang w:val="en-US" w:eastAsia="zh-CN"/>
        </w:rPr>
      </w:pPr>
      <w:r>
        <w:rPr>
          <w:rFonts w:hint="eastAsia" w:ascii="宋体" w:hAnsi="宋体" w:eastAsia="宋体" w:cs="宋体"/>
          <w:bCs/>
          <w:color w:val="000000"/>
          <w:sz w:val="24"/>
          <w:highlight w:val="none"/>
          <w:lang w:eastAsia="zh-CN"/>
        </w:rPr>
        <w:t>九、</w:t>
      </w:r>
      <w:bookmarkStart w:id="1" w:name="_Toc4588"/>
      <w:r>
        <w:rPr>
          <w:rFonts w:hint="eastAsia" w:ascii="宋体" w:hAnsi="宋体" w:eastAsia="宋体" w:cs="宋体"/>
          <w:bCs/>
          <w:color w:val="000000"/>
          <w:sz w:val="24"/>
          <w:highlight w:val="none"/>
          <w:lang w:val="en-US" w:eastAsia="zh-CN"/>
        </w:rPr>
        <w:t>服务标准：</w:t>
      </w:r>
      <w:bookmarkEnd w:id="1"/>
      <w:r>
        <w:rPr>
          <w:rFonts w:hint="eastAsia" w:ascii="宋体" w:hAnsi="宋体" w:eastAsia="宋体" w:cs="宋体"/>
          <w:bCs/>
          <w:color w:val="000000"/>
          <w:sz w:val="24"/>
          <w:highlight w:val="none"/>
          <w:lang w:val="en-US" w:eastAsia="zh-CN"/>
        </w:rPr>
        <w:t>符合采购人服务要求。</w:t>
      </w:r>
    </w:p>
    <w:p w14:paraId="4BA7DC2C">
      <w:pPr>
        <w:snapToGrid w:val="0"/>
        <w:spacing w:line="360" w:lineRule="auto"/>
        <w:ind w:firstLine="480" w:firstLineChars="200"/>
        <w:rPr>
          <w:rFonts w:hint="eastAsia" w:ascii="宋体" w:hAnsi="宋体" w:eastAsia="宋体" w:cs="宋体"/>
          <w:bCs/>
          <w:color w:val="000000"/>
          <w:sz w:val="24"/>
          <w:highlight w:val="none"/>
          <w:lang w:eastAsia="zh-CN"/>
        </w:rPr>
      </w:pPr>
      <w:bookmarkStart w:id="2" w:name="_Toc15017"/>
      <w:r>
        <w:rPr>
          <w:rFonts w:hint="eastAsia" w:ascii="宋体" w:hAnsi="宋体" w:eastAsia="宋体" w:cs="宋体"/>
          <w:bCs/>
          <w:color w:val="000000"/>
          <w:sz w:val="24"/>
          <w:highlight w:val="none"/>
          <w:lang w:eastAsia="zh-CN"/>
        </w:rPr>
        <w:t>十、责任与风险：</w:t>
      </w:r>
      <w:bookmarkEnd w:id="2"/>
      <w:r>
        <w:rPr>
          <w:rFonts w:hint="eastAsia" w:ascii="宋体" w:hAnsi="宋体" w:eastAsia="宋体" w:cs="宋体"/>
          <w:bCs/>
          <w:color w:val="000000"/>
          <w:sz w:val="24"/>
          <w:highlight w:val="none"/>
          <w:lang w:eastAsia="zh-CN"/>
        </w:rPr>
        <w:t xml:space="preserve"> </w:t>
      </w:r>
    </w:p>
    <w:p w14:paraId="35075C2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由于乙方员工工作失误引起的纠纷或责任，乙方负全责。甲乙双方的责任根据如下原则进行区分。 </w:t>
      </w:r>
    </w:p>
    <w:p w14:paraId="7236323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（一）护理事故风险：</w:t>
      </w:r>
    </w:p>
    <w:p w14:paraId="302E1EF6">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 在执行生活护理过程中，由于员工工作失误造成的服务对象摔跌、坠床、烫伤、压疮和自杀等意外时，乙方负责与家属协调并承担全部责任。</w:t>
      </w:r>
    </w:p>
    <w:p w14:paraId="4EE08894">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2. 员工在进行生活护理的同时有义务协助护士观察发现并及时报告病情变化，若因员工拖延反映或者不反映患者主诉严重不适者，导致的延误抢救或意外发生，乙方负责与家属协调并承担相应责任。 </w:t>
      </w:r>
    </w:p>
    <w:p w14:paraId="77E02B2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（二）管理风险</w:t>
      </w:r>
    </w:p>
    <w:p w14:paraId="0689BF0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员工偷吃服务对象饭食、盗窃财物、使用电器做饭等违规行为，给甲方造成经济损失的全额赔偿，同时视为乙方违约，乙方需向甲方承担违约责任。 </w:t>
      </w:r>
    </w:p>
    <w:p w14:paraId="78F3CCE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（三）其他风险</w:t>
      </w:r>
    </w:p>
    <w:p w14:paraId="2828173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 xml:space="preserve">其他赔偿责任，依据中华人民共和国法律，由甲乙双方在公平、公正的原则下协商解决。 </w:t>
      </w:r>
    </w:p>
    <w:p w14:paraId="0E00F006">
      <w:pPr>
        <w:snapToGrid w:val="0"/>
        <w:spacing w:line="360" w:lineRule="auto"/>
        <w:ind w:firstLine="480" w:firstLineChars="200"/>
        <w:rPr>
          <w:rFonts w:hint="eastAsia" w:ascii="宋体" w:hAnsi="宋体" w:eastAsia="宋体" w:cs="宋体"/>
          <w:bCs/>
          <w:color w:val="000000"/>
          <w:sz w:val="24"/>
          <w:highlight w:val="none"/>
          <w:lang w:eastAsia="zh-CN"/>
        </w:rPr>
      </w:pPr>
      <w:bookmarkStart w:id="3" w:name="_Toc27810"/>
      <w:r>
        <w:rPr>
          <w:rFonts w:hint="eastAsia" w:ascii="宋体" w:hAnsi="宋体" w:eastAsia="宋体" w:cs="宋体"/>
          <w:bCs/>
          <w:color w:val="000000"/>
          <w:sz w:val="24"/>
          <w:highlight w:val="none"/>
          <w:lang w:eastAsia="zh-CN"/>
        </w:rPr>
        <w:t>十一、违约条款 ：</w:t>
      </w:r>
      <w:bookmarkEnd w:id="3"/>
    </w:p>
    <w:p w14:paraId="0F6275E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乙方违反本协议任一条约定的，每出现一次违约行为，需按照合同约定最高金额的5%向甲方承担违约责任；同一违约事项出现2次及以上的，每次按照合同约定最高金额的10%承担违约责任；乙方谎报、虚报饮食费、日杂费用的，乙方需按照谎报、续保金额的2倍向甲方支付违约金，甲方对乙方提报费用产生质疑的，乙方有义务提供相关支付记录等佐证资料，拒不提供的视为谎报、虚报费用。</w:t>
      </w:r>
    </w:p>
    <w:p w14:paraId="096C0D36">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 如果因乙方人力不足，给甲方造成的人员加班费用，由乙方承担。</w:t>
      </w:r>
    </w:p>
    <w:p w14:paraId="011E3C0A">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3.乙方有下列情形之一的，甲方有权提前解除本协议，拒绝支付任何费用，乙方需按照合同约定最高金额的30%向甲方支付违约金，本合同约定的其他违约金一并适用。给甲方造成损失的，还需赔偿全部损失。</w:t>
      </w:r>
    </w:p>
    <w:p w14:paraId="3DE7AA8D">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（1）乙方拒绝提供陪护服务或懈怠履行合同义务的；</w:t>
      </w:r>
    </w:p>
    <w:p w14:paraId="79FA92D8">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（2）乙方擅自转委托的；或乙方指派工作人员不符合合同约定资质、条件的。</w:t>
      </w:r>
    </w:p>
    <w:p w14:paraId="017FEC90">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（3）乙方违反保密约定，造成甲方或患者及其家属信息泄露的；</w:t>
      </w:r>
    </w:p>
    <w:p w14:paraId="54771BCC">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（4）乙方指派工作人员严重失职，造成患者或院方人身损害、较大经济损失的。</w:t>
      </w:r>
    </w:p>
    <w:p w14:paraId="00F94CE1">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（5）乙方未按甲方要求做好陪护记录，或甲方认为陪护服务存在较大瑕疵的；</w:t>
      </w:r>
    </w:p>
    <w:p w14:paraId="6A0C0248">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（6）乙方丧失或可能丧失履约能力的，或有负面舆情的；</w:t>
      </w:r>
    </w:p>
    <w:p w14:paraId="154E00B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（7）其他因乙方原因造成甲方较大损失或负面舆情的；或乙方违约，经甲方提醒一次仍未改正的。</w:t>
      </w:r>
    </w:p>
    <w:p w14:paraId="00AC53D2">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十二、争议解决：本协议在履行过程中发生争议，由双方协商解决，协商不成的，双方同意在</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 xml:space="preserve">法院诉讼解决。 </w:t>
      </w:r>
    </w:p>
    <w:p w14:paraId="4A2AC10D">
      <w:pPr>
        <w:snapToGrid w:val="0"/>
        <w:spacing w:line="360" w:lineRule="auto"/>
        <w:ind w:firstLine="480" w:firstLineChars="200"/>
        <w:rPr>
          <w:rFonts w:hint="eastAsia" w:ascii="宋体" w:hAnsi="宋体" w:eastAsia="宋体" w:cs="宋体"/>
          <w:bCs/>
          <w:color w:val="000000"/>
          <w:sz w:val="24"/>
          <w:highlight w:val="none"/>
          <w:lang w:eastAsia="zh-CN"/>
        </w:rPr>
      </w:pPr>
      <w:bookmarkStart w:id="4" w:name="_Toc11398"/>
      <w:r>
        <w:rPr>
          <w:rFonts w:hint="eastAsia" w:ascii="宋体" w:hAnsi="宋体" w:eastAsia="宋体" w:cs="宋体"/>
          <w:bCs/>
          <w:color w:val="000000"/>
          <w:sz w:val="24"/>
          <w:highlight w:val="none"/>
          <w:lang w:eastAsia="zh-CN"/>
        </w:rPr>
        <w:t>十三、其他条款：</w:t>
      </w:r>
      <w:bookmarkEnd w:id="4"/>
      <w:r>
        <w:rPr>
          <w:rFonts w:hint="eastAsia" w:ascii="宋体" w:hAnsi="宋体" w:eastAsia="宋体" w:cs="宋体"/>
          <w:bCs/>
          <w:color w:val="000000"/>
          <w:sz w:val="24"/>
          <w:highlight w:val="none"/>
          <w:lang w:eastAsia="zh-CN"/>
        </w:rPr>
        <w:t xml:space="preserve"> </w:t>
      </w:r>
    </w:p>
    <w:p w14:paraId="39F833D9">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1</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合同自双方盖章之日起生效，合同签订地点为</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lang w:eastAsia="zh-CN"/>
        </w:rPr>
        <w:t>。</w:t>
      </w:r>
    </w:p>
    <w:p w14:paraId="37EBF765">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2</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本合同未尽事宜双方签订补充协议,其内容具有同等法律效力。补充协议与本协议不 一致时,以补充协议为准。合同所有内容均为打印文书，任何手写内容无效。</w:t>
      </w:r>
    </w:p>
    <w:p w14:paraId="2A648F77">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3</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本合同一式伍份，甲方肆份，乙方壹份。</w:t>
      </w:r>
    </w:p>
    <w:p w14:paraId="27BDEEBB">
      <w:pPr>
        <w:snapToGrid w:val="0"/>
        <w:spacing w:line="360" w:lineRule="auto"/>
        <w:ind w:firstLine="480" w:firstLineChars="200"/>
        <w:rPr>
          <w:rFonts w:hint="eastAsia" w:ascii="宋体" w:hAnsi="宋体" w:eastAsia="宋体" w:cs="宋体"/>
          <w:bCs/>
          <w:color w:val="000000"/>
          <w:sz w:val="24"/>
          <w:highlight w:val="none"/>
          <w:lang w:eastAsia="zh-CN"/>
        </w:rPr>
      </w:pPr>
      <w:r>
        <w:rPr>
          <w:rFonts w:hint="eastAsia" w:ascii="宋体" w:hAnsi="宋体" w:eastAsia="宋体" w:cs="宋体"/>
          <w:bCs/>
          <w:color w:val="000000"/>
          <w:sz w:val="24"/>
          <w:highlight w:val="none"/>
          <w:lang w:eastAsia="zh-CN"/>
        </w:rPr>
        <w:t>4</w:t>
      </w:r>
      <w:r>
        <w:rPr>
          <w:rFonts w:hint="eastAsia" w:ascii="宋体" w:hAnsi="宋体" w:eastAsia="宋体" w:cs="宋体"/>
          <w:bCs/>
          <w:color w:val="000000"/>
          <w:sz w:val="24"/>
          <w:highlight w:val="none"/>
          <w:lang w:val="en-US" w:eastAsia="zh-CN"/>
        </w:rPr>
        <w:t>.</w:t>
      </w:r>
      <w:r>
        <w:rPr>
          <w:rFonts w:hint="eastAsia" w:ascii="宋体" w:hAnsi="宋体" w:eastAsia="宋体" w:cs="宋体"/>
          <w:bCs/>
          <w:color w:val="000000"/>
          <w:sz w:val="24"/>
          <w:highlight w:val="none"/>
          <w:lang w:eastAsia="zh-CN"/>
        </w:rPr>
        <w:t>本合同中的通讯地址为甲乙双方互发函件确认能够接收的地址，若有变更应在变更后5个工作日内书面通知对方，否则对方按此地址送达的任何文件在发出3日后即视为送达，通过电子邮件、微信方式送达的，一经发出即视为送达。若发</w:t>
      </w:r>
      <w:bookmarkStart w:id="5" w:name="_GoBack"/>
      <w:bookmarkEnd w:id="5"/>
      <w:r>
        <w:rPr>
          <w:rFonts w:hint="eastAsia" w:ascii="宋体" w:hAnsi="宋体" w:eastAsia="宋体" w:cs="宋体"/>
          <w:bCs/>
          <w:color w:val="000000"/>
          <w:sz w:val="24"/>
          <w:highlight w:val="none"/>
          <w:lang w:eastAsia="zh-CN"/>
        </w:rPr>
        <w:t>生纠纷的，该地址作为法院或仲裁机构寄发相应法律文件的送达地址，因一方预留地址有误或变更通讯地址而未通知对方的，对方、法院或仲裁机构按原地址发出通知或文件3日后，视为已送达。</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8"/>
        <w:gridCol w:w="5101"/>
      </w:tblGrid>
      <w:tr w14:paraId="1A5B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1" w:hRule="atLeast"/>
        </w:trPr>
        <w:tc>
          <w:tcPr>
            <w:tcW w:w="4078" w:type="dxa"/>
            <w:noWrap w:val="0"/>
            <w:vAlign w:val="top"/>
          </w:tcPr>
          <w:p w14:paraId="34B39E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p w14:paraId="4644A33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3B60E4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4652D74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41C75D7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4157B69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6AD5FD0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278ABDA3">
            <w:pPr>
              <w:pStyle w:val="7"/>
              <w:rPr>
                <w:rFonts w:hint="eastAsia"/>
              </w:rPr>
            </w:pPr>
            <w:r>
              <w:rPr>
                <w:rFonts w:hint="eastAsia" w:ascii="宋体" w:hAnsi="宋体" w:eastAsia="宋体" w:cs="宋体"/>
                <w:color w:val="auto"/>
                <w:sz w:val="24"/>
                <w:szCs w:val="24"/>
                <w:lang w:eastAsia="zh-CN"/>
              </w:rPr>
              <w:t>时间：</w:t>
            </w:r>
          </w:p>
        </w:tc>
        <w:tc>
          <w:tcPr>
            <w:tcW w:w="5101" w:type="dxa"/>
            <w:noWrap w:val="0"/>
            <w:vAlign w:val="top"/>
          </w:tcPr>
          <w:p w14:paraId="5F096612">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乙方名称：</w:t>
            </w:r>
            <w:r>
              <w:rPr>
                <w:rFonts w:hint="eastAsia" w:ascii="宋体" w:hAnsi="宋体" w:eastAsia="宋体" w:cs="宋体"/>
                <w:color w:val="auto"/>
                <w:sz w:val="24"/>
                <w:szCs w:val="24"/>
                <w:lang w:val="en-US" w:eastAsia="zh-CN"/>
              </w:rPr>
              <w:t xml:space="preserve"> </w:t>
            </w:r>
          </w:p>
          <w:p w14:paraId="4E4FC1C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4D6C9F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79D8049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34EA077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传真：</w:t>
            </w:r>
          </w:p>
          <w:p w14:paraId="4297F3E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代表签字或盖章:</w:t>
            </w:r>
          </w:p>
          <w:p w14:paraId="657122D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盖章：</w:t>
            </w:r>
          </w:p>
          <w:p w14:paraId="7CBFD3B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时间：</w:t>
            </w:r>
          </w:p>
        </w:tc>
      </w:tr>
      <w:tr w14:paraId="5A2E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9179" w:type="dxa"/>
            <w:gridSpan w:val="2"/>
            <w:noWrap w:val="0"/>
            <w:vAlign w:val="top"/>
          </w:tcPr>
          <w:p w14:paraId="2D5AACE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鉴证方名称(公章)：</w:t>
            </w:r>
          </w:p>
          <w:p w14:paraId="3B3C1F16">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经办人：</w:t>
            </w:r>
          </w:p>
          <w:p w14:paraId="5FD4CD68">
            <w:pPr>
              <w:pStyle w:val="7"/>
              <w:rPr>
                <w:rFonts w:hint="eastAsia"/>
                <w:lang w:eastAsia="zh-CN"/>
              </w:rPr>
            </w:pPr>
            <w:r>
              <w:rPr>
                <w:rFonts w:hint="eastAsia" w:ascii="宋体" w:hAnsi="宋体" w:eastAsia="宋体" w:cs="宋体"/>
                <w:color w:val="auto"/>
                <w:sz w:val="24"/>
                <w:szCs w:val="24"/>
                <w:lang w:eastAsia="zh-CN"/>
              </w:rPr>
              <w:t>时间：</w:t>
            </w:r>
          </w:p>
        </w:tc>
      </w:tr>
    </w:tbl>
    <w:p w14:paraId="072772B2">
      <w:pPr>
        <w:autoSpaceDE w:val="0"/>
        <w:autoSpaceDN w:val="0"/>
        <w:adjustRightInd w:val="0"/>
        <w:spacing w:line="520" w:lineRule="exact"/>
        <w:rPr>
          <w:rFonts w:hint="eastAsia" w:ascii="宋体" w:hAnsi="宋体"/>
          <w:color w:val="auto"/>
          <w:sz w:val="24"/>
          <w:szCs w:val="24"/>
        </w:rPr>
      </w:pPr>
    </w:p>
    <w:sectPr>
      <w:headerReference r:id="rId3" w:type="default"/>
      <w:footerReference r:id="rId4" w:type="default"/>
      <w:pgSz w:w="11906" w:h="16838"/>
      <w:pgMar w:top="1701" w:right="1304"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89DC8">
    <w:pPr>
      <w:pStyle w:val="11"/>
      <w:framePr w:wrap="around" w:vAnchor="text" w:hAnchor="margin" w:xAlign="center" w:y="1"/>
      <w:rPr>
        <w:rStyle w:val="19"/>
      </w:rPr>
    </w:pPr>
    <w:r>
      <w:fldChar w:fldCharType="begin"/>
    </w:r>
    <w:r>
      <w:rPr>
        <w:rStyle w:val="19"/>
      </w:rPr>
      <w:instrText xml:space="preserve">PAGE  </w:instrText>
    </w:r>
    <w:r>
      <w:fldChar w:fldCharType="separate"/>
    </w:r>
    <w:r>
      <w:rPr>
        <w:rStyle w:val="19"/>
        <w:lang w:val="en-US" w:eastAsia="zh-CN"/>
      </w:rPr>
      <w:t>2</w:t>
    </w:r>
    <w:r>
      <w:fldChar w:fldCharType="end"/>
    </w:r>
  </w:p>
  <w:p w14:paraId="30924B5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1FE6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2"/>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0NDAzNGI2NjY1MjY2M2Y2YTQ3YTNkYThmYjdjOWQifQ=="/>
  </w:docVars>
  <w:rsids>
    <w:rsidRoot w:val="00172A27"/>
    <w:rsid w:val="00022B99"/>
    <w:rsid w:val="00051C78"/>
    <w:rsid w:val="00052DB5"/>
    <w:rsid w:val="00086B45"/>
    <w:rsid w:val="00094330"/>
    <w:rsid w:val="00097164"/>
    <w:rsid w:val="000C3942"/>
    <w:rsid w:val="000D5885"/>
    <w:rsid w:val="000D5FC3"/>
    <w:rsid w:val="000D63EE"/>
    <w:rsid w:val="0013274B"/>
    <w:rsid w:val="00145CED"/>
    <w:rsid w:val="00184DF9"/>
    <w:rsid w:val="00192D67"/>
    <w:rsid w:val="00195408"/>
    <w:rsid w:val="001A010E"/>
    <w:rsid w:val="001B677F"/>
    <w:rsid w:val="001D2E3F"/>
    <w:rsid w:val="001E5AA2"/>
    <w:rsid w:val="0021671E"/>
    <w:rsid w:val="002700E9"/>
    <w:rsid w:val="002857EB"/>
    <w:rsid w:val="002A49A6"/>
    <w:rsid w:val="002A580E"/>
    <w:rsid w:val="002C18EA"/>
    <w:rsid w:val="003464C6"/>
    <w:rsid w:val="003545CE"/>
    <w:rsid w:val="003C0EBB"/>
    <w:rsid w:val="003C2C5D"/>
    <w:rsid w:val="003E5A1D"/>
    <w:rsid w:val="003F3C4F"/>
    <w:rsid w:val="0046740A"/>
    <w:rsid w:val="004A6CC8"/>
    <w:rsid w:val="004E7776"/>
    <w:rsid w:val="00544F90"/>
    <w:rsid w:val="005473D0"/>
    <w:rsid w:val="005A33D7"/>
    <w:rsid w:val="005A73C6"/>
    <w:rsid w:val="005B37F8"/>
    <w:rsid w:val="005B5143"/>
    <w:rsid w:val="005F13A1"/>
    <w:rsid w:val="0062768C"/>
    <w:rsid w:val="006705C8"/>
    <w:rsid w:val="00673DDE"/>
    <w:rsid w:val="006B2BFF"/>
    <w:rsid w:val="006D61C1"/>
    <w:rsid w:val="006E44BE"/>
    <w:rsid w:val="006F0C11"/>
    <w:rsid w:val="006F3FAB"/>
    <w:rsid w:val="00713F41"/>
    <w:rsid w:val="0073067F"/>
    <w:rsid w:val="0073312F"/>
    <w:rsid w:val="0074336F"/>
    <w:rsid w:val="0075081A"/>
    <w:rsid w:val="007A0F90"/>
    <w:rsid w:val="007C1BC1"/>
    <w:rsid w:val="007E0DF9"/>
    <w:rsid w:val="007F69AD"/>
    <w:rsid w:val="008104B8"/>
    <w:rsid w:val="00847517"/>
    <w:rsid w:val="00887F7F"/>
    <w:rsid w:val="008B6A8A"/>
    <w:rsid w:val="008F5987"/>
    <w:rsid w:val="008F77D6"/>
    <w:rsid w:val="00904A65"/>
    <w:rsid w:val="0091493D"/>
    <w:rsid w:val="009525B2"/>
    <w:rsid w:val="009748C4"/>
    <w:rsid w:val="009A0189"/>
    <w:rsid w:val="009A496E"/>
    <w:rsid w:val="009C3BAF"/>
    <w:rsid w:val="00A055F5"/>
    <w:rsid w:val="00A064F7"/>
    <w:rsid w:val="00A2081D"/>
    <w:rsid w:val="00A211D9"/>
    <w:rsid w:val="00A27601"/>
    <w:rsid w:val="00A45F7E"/>
    <w:rsid w:val="00A57761"/>
    <w:rsid w:val="00AA52B1"/>
    <w:rsid w:val="00AB2C39"/>
    <w:rsid w:val="00B623AA"/>
    <w:rsid w:val="00B76D76"/>
    <w:rsid w:val="00B83848"/>
    <w:rsid w:val="00B9043B"/>
    <w:rsid w:val="00BB0BCF"/>
    <w:rsid w:val="00BD2B7A"/>
    <w:rsid w:val="00BD6BA6"/>
    <w:rsid w:val="00C16117"/>
    <w:rsid w:val="00C46DB8"/>
    <w:rsid w:val="00C64874"/>
    <w:rsid w:val="00C7200F"/>
    <w:rsid w:val="00C72318"/>
    <w:rsid w:val="00C8616E"/>
    <w:rsid w:val="00CB3171"/>
    <w:rsid w:val="00CC4C4E"/>
    <w:rsid w:val="00D455A6"/>
    <w:rsid w:val="00D4656E"/>
    <w:rsid w:val="00DA6265"/>
    <w:rsid w:val="00DA63EF"/>
    <w:rsid w:val="00DD523F"/>
    <w:rsid w:val="00DF4AED"/>
    <w:rsid w:val="00E02D24"/>
    <w:rsid w:val="00E45B65"/>
    <w:rsid w:val="00E572C8"/>
    <w:rsid w:val="00E9298F"/>
    <w:rsid w:val="00E95721"/>
    <w:rsid w:val="00ED329F"/>
    <w:rsid w:val="00EE0F8E"/>
    <w:rsid w:val="00EF1499"/>
    <w:rsid w:val="00EF18EC"/>
    <w:rsid w:val="00EF76FE"/>
    <w:rsid w:val="00F07F05"/>
    <w:rsid w:val="00F22EB7"/>
    <w:rsid w:val="00F304A8"/>
    <w:rsid w:val="00F33418"/>
    <w:rsid w:val="00F55714"/>
    <w:rsid w:val="00F9707D"/>
    <w:rsid w:val="00FB47F3"/>
    <w:rsid w:val="00FD06E3"/>
    <w:rsid w:val="00FD1407"/>
    <w:rsid w:val="01ED7025"/>
    <w:rsid w:val="02CB7561"/>
    <w:rsid w:val="068A52F6"/>
    <w:rsid w:val="07FA4D13"/>
    <w:rsid w:val="083104C1"/>
    <w:rsid w:val="0A2069F6"/>
    <w:rsid w:val="0A760013"/>
    <w:rsid w:val="0B6A3567"/>
    <w:rsid w:val="0C7603CC"/>
    <w:rsid w:val="0C7A54F0"/>
    <w:rsid w:val="0CE23502"/>
    <w:rsid w:val="0DCE6B40"/>
    <w:rsid w:val="0F8C0A60"/>
    <w:rsid w:val="106A66B5"/>
    <w:rsid w:val="10B42F21"/>
    <w:rsid w:val="11BF0A31"/>
    <w:rsid w:val="1328337A"/>
    <w:rsid w:val="14B067DA"/>
    <w:rsid w:val="1B2052AB"/>
    <w:rsid w:val="1B360B86"/>
    <w:rsid w:val="1CB808A4"/>
    <w:rsid w:val="1EE700F8"/>
    <w:rsid w:val="213F5933"/>
    <w:rsid w:val="22E95E66"/>
    <w:rsid w:val="2F09259E"/>
    <w:rsid w:val="3069378E"/>
    <w:rsid w:val="30BC79DE"/>
    <w:rsid w:val="33177F5D"/>
    <w:rsid w:val="33926611"/>
    <w:rsid w:val="33D829FB"/>
    <w:rsid w:val="35194AFE"/>
    <w:rsid w:val="36B063AC"/>
    <w:rsid w:val="36FA327E"/>
    <w:rsid w:val="38316125"/>
    <w:rsid w:val="38321935"/>
    <w:rsid w:val="387B5370"/>
    <w:rsid w:val="389205E6"/>
    <w:rsid w:val="39267CD8"/>
    <w:rsid w:val="3A494067"/>
    <w:rsid w:val="3B293484"/>
    <w:rsid w:val="3E620A8F"/>
    <w:rsid w:val="3EBD622E"/>
    <w:rsid w:val="4098530B"/>
    <w:rsid w:val="410D6FE9"/>
    <w:rsid w:val="41961359"/>
    <w:rsid w:val="41A009C4"/>
    <w:rsid w:val="42262080"/>
    <w:rsid w:val="43724E1C"/>
    <w:rsid w:val="469F7CA9"/>
    <w:rsid w:val="47045039"/>
    <w:rsid w:val="473236C0"/>
    <w:rsid w:val="49CD6BEA"/>
    <w:rsid w:val="49F9104E"/>
    <w:rsid w:val="4AF64A04"/>
    <w:rsid w:val="4B70182E"/>
    <w:rsid w:val="4BCA42EC"/>
    <w:rsid w:val="4D1C375A"/>
    <w:rsid w:val="4DB125A8"/>
    <w:rsid w:val="4E5F7BBF"/>
    <w:rsid w:val="511129ED"/>
    <w:rsid w:val="5580116A"/>
    <w:rsid w:val="57841230"/>
    <w:rsid w:val="57B437AF"/>
    <w:rsid w:val="58016947"/>
    <w:rsid w:val="58391929"/>
    <w:rsid w:val="59B36724"/>
    <w:rsid w:val="5B51539A"/>
    <w:rsid w:val="5B656260"/>
    <w:rsid w:val="5D5E1BAD"/>
    <w:rsid w:val="5DB63007"/>
    <w:rsid w:val="5F4E1909"/>
    <w:rsid w:val="60A02A1D"/>
    <w:rsid w:val="622226A1"/>
    <w:rsid w:val="62F52C05"/>
    <w:rsid w:val="62F83C40"/>
    <w:rsid w:val="63366651"/>
    <w:rsid w:val="66446D48"/>
    <w:rsid w:val="690F7B9A"/>
    <w:rsid w:val="6D276580"/>
    <w:rsid w:val="6D80252E"/>
    <w:rsid w:val="6E7E5648"/>
    <w:rsid w:val="6EEA3FEE"/>
    <w:rsid w:val="7075733E"/>
    <w:rsid w:val="718957D5"/>
    <w:rsid w:val="73A573D5"/>
    <w:rsid w:val="76BB709F"/>
    <w:rsid w:val="77FA7033"/>
    <w:rsid w:val="7ADB75EF"/>
    <w:rsid w:val="7D1E4180"/>
    <w:rsid w:val="7E2D7EF7"/>
    <w:rsid w:val="7EAB589E"/>
    <w:rsid w:val="7EED1FD5"/>
    <w:rsid w:val="7F8D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2">
    <w:name w:val="heading 4"/>
    <w:basedOn w:val="3"/>
    <w:next w:val="1"/>
    <w:qFormat/>
    <w:uiPriority w:val="0"/>
    <w:pPr>
      <w:numPr>
        <w:ilvl w:val="3"/>
        <w:numId w:val="1"/>
      </w:numPr>
      <w:spacing w:before="280" w:after="290" w:line="372" w:lineRule="auto"/>
      <w:outlineLvl w:val="3"/>
    </w:pPr>
    <w:rPr>
      <w:rFonts w:eastAsia="黑体"/>
      <w:sz w:val="28"/>
    </w:rPr>
  </w:style>
  <w:style w:type="character" w:default="1" w:styleId="18">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Document Map"/>
    <w:basedOn w:val="1"/>
    <w:link w:val="21"/>
    <w:qFormat/>
    <w:uiPriority w:val="0"/>
    <w:rPr>
      <w:rFonts w:ascii="宋体"/>
      <w:sz w:val="18"/>
      <w:szCs w:val="18"/>
    </w:rPr>
  </w:style>
  <w:style w:type="paragraph" w:styleId="6">
    <w:name w:val="annotation text"/>
    <w:basedOn w:val="1"/>
    <w:link w:val="22"/>
    <w:qFormat/>
    <w:uiPriority w:val="0"/>
    <w:pPr>
      <w:jc w:val="left"/>
    </w:pPr>
  </w:style>
  <w:style w:type="paragraph" w:styleId="7">
    <w:name w:val="Body Text"/>
    <w:basedOn w:val="1"/>
    <w:next w:val="1"/>
    <w:qFormat/>
    <w:uiPriority w:val="0"/>
  </w:style>
  <w:style w:type="paragraph" w:styleId="8">
    <w:name w:val="Plain Text"/>
    <w:basedOn w:val="1"/>
    <w:qFormat/>
    <w:uiPriority w:val="0"/>
    <w:pPr>
      <w:spacing w:line="324" w:lineRule="auto"/>
    </w:pPr>
    <w:rPr>
      <w:rFonts w:ascii="宋体" w:hAnsi="Courier New" w:cs="Courier New"/>
      <w:szCs w:val="21"/>
    </w:rPr>
  </w:style>
  <w:style w:type="paragraph" w:styleId="9">
    <w:name w:val="Date"/>
    <w:basedOn w:val="1"/>
    <w:next w:val="1"/>
    <w:qFormat/>
    <w:uiPriority w:val="0"/>
    <w:pPr>
      <w:ind w:left="100" w:leftChars="2500"/>
    </w:pPr>
  </w:style>
  <w:style w:type="paragraph" w:styleId="10">
    <w:name w:val="Balloon Text"/>
    <w:basedOn w:val="1"/>
    <w:link w:val="23"/>
    <w:qFormat/>
    <w:uiPriority w:val="0"/>
    <w:rPr>
      <w:rFonts w:ascii="宋体"/>
      <w:sz w:val="18"/>
      <w:szCs w:val="18"/>
    </w:rPr>
  </w:style>
  <w:style w:type="paragraph" w:styleId="11">
    <w:name w:val="footer"/>
    <w:basedOn w:val="1"/>
    <w:next w:val="12"/>
    <w:qFormat/>
    <w:uiPriority w:val="0"/>
    <w:pPr>
      <w:tabs>
        <w:tab w:val="center" w:pos="4153"/>
        <w:tab w:val="right" w:pos="8306"/>
      </w:tabs>
      <w:snapToGrid w:val="0"/>
      <w:jc w:val="left"/>
    </w:pPr>
    <w:rPr>
      <w:sz w:val="18"/>
      <w:szCs w:val="18"/>
    </w:rPr>
  </w:style>
  <w:style w:type="paragraph" w:customStyle="1" w:styleId="12">
    <w:name w:val="TOC 标题1"/>
    <w:next w:val="1"/>
    <w:qFormat/>
    <w:uiPriority w:val="0"/>
    <w:pPr>
      <w:wordWrap w:val="0"/>
    </w:pPr>
    <w:rPr>
      <w:rFonts w:ascii="Times New Roman" w:hAnsi="Times New Roman" w:eastAsia="宋体" w:cs="Times New Roman"/>
      <w:sz w:val="32"/>
      <w:lang w:val="en-US" w:eastAsia="zh-CN" w:bidi="ar-SA"/>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rPr>
      <w:sz w:val="24"/>
      <w:szCs w:val="24"/>
    </w:rPr>
  </w:style>
  <w:style w:type="paragraph" w:styleId="15">
    <w:name w:val="annotation subject"/>
    <w:basedOn w:val="6"/>
    <w:next w:val="6"/>
    <w:link w:val="24"/>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qFormat/>
    <w:uiPriority w:val="0"/>
  </w:style>
  <w:style w:type="character" w:styleId="20">
    <w:name w:val="annotation reference"/>
    <w:qFormat/>
    <w:uiPriority w:val="0"/>
    <w:rPr>
      <w:sz w:val="21"/>
      <w:szCs w:val="21"/>
    </w:rPr>
  </w:style>
  <w:style w:type="character" w:customStyle="1" w:styleId="21">
    <w:name w:val="文档结构图 字符"/>
    <w:link w:val="5"/>
    <w:qFormat/>
    <w:uiPriority w:val="0"/>
    <w:rPr>
      <w:rFonts w:ascii="宋体"/>
      <w:kern w:val="2"/>
      <w:sz w:val="18"/>
      <w:szCs w:val="18"/>
    </w:rPr>
  </w:style>
  <w:style w:type="character" w:customStyle="1" w:styleId="22">
    <w:name w:val="批注文字 字符"/>
    <w:link w:val="6"/>
    <w:qFormat/>
    <w:uiPriority w:val="0"/>
    <w:rPr>
      <w:kern w:val="2"/>
      <w:sz w:val="21"/>
    </w:rPr>
  </w:style>
  <w:style w:type="character" w:customStyle="1" w:styleId="23">
    <w:name w:val="批注框文本 字符"/>
    <w:link w:val="10"/>
    <w:qFormat/>
    <w:uiPriority w:val="0"/>
    <w:rPr>
      <w:rFonts w:ascii="宋体"/>
      <w:kern w:val="2"/>
      <w:sz w:val="18"/>
      <w:szCs w:val="18"/>
    </w:rPr>
  </w:style>
  <w:style w:type="character" w:customStyle="1" w:styleId="24">
    <w:name w:val="批注主题 字符"/>
    <w:link w:val="15"/>
    <w:qFormat/>
    <w:uiPriority w:val="0"/>
    <w:rPr>
      <w:b/>
      <w:bCs/>
      <w:kern w:val="2"/>
      <w:sz w:val="21"/>
    </w:rPr>
  </w:style>
  <w:style w:type="character" w:customStyle="1" w:styleId="25">
    <w:name w:val="font121"/>
    <w:qFormat/>
    <w:uiPriority w:val="0"/>
    <w:rPr>
      <w:rFonts w:hint="eastAsia" w:ascii="宋体" w:hAnsi="宋体" w:eastAsia="宋体" w:cs="宋体"/>
      <w:b/>
      <w:color w:val="000000"/>
      <w:sz w:val="22"/>
      <w:szCs w:val="22"/>
      <w:u w:val="none"/>
    </w:rPr>
  </w:style>
  <w:style w:type="character" w:customStyle="1" w:styleId="26">
    <w:name w:val="font11"/>
    <w:qFormat/>
    <w:uiPriority w:val="0"/>
    <w:rPr>
      <w:rFonts w:hint="eastAsia" w:ascii="宋体" w:hAnsi="宋体" w:eastAsia="宋体" w:cs="宋体"/>
      <w:b/>
      <w:color w:val="000000"/>
      <w:sz w:val="22"/>
      <w:szCs w:val="22"/>
      <w:u w:val="none"/>
    </w:rPr>
  </w:style>
  <w:style w:type="character" w:customStyle="1" w:styleId="27">
    <w:name w:val="font61"/>
    <w:qFormat/>
    <w:uiPriority w:val="0"/>
    <w:rPr>
      <w:rFonts w:hint="default" w:ascii="Arial" w:hAnsi="Arial" w:cs="Arial"/>
      <w:b/>
      <w:color w:val="000000"/>
      <w:sz w:val="32"/>
      <w:szCs w:val="32"/>
      <w:u w:val="none"/>
    </w:rPr>
  </w:style>
  <w:style w:type="character" w:customStyle="1" w:styleId="28">
    <w:name w:val="font131"/>
    <w:qFormat/>
    <w:uiPriority w:val="0"/>
    <w:rPr>
      <w:rFonts w:hint="eastAsia" w:ascii="宋体" w:hAnsi="宋体" w:eastAsia="宋体" w:cs="宋体"/>
      <w:color w:val="000000"/>
      <w:sz w:val="20"/>
      <w:szCs w:val="20"/>
      <w:u w:val="none"/>
    </w:rPr>
  </w:style>
  <w:style w:type="character" w:customStyle="1" w:styleId="29">
    <w:name w:val="font71"/>
    <w:qFormat/>
    <w:uiPriority w:val="0"/>
    <w:rPr>
      <w:rFonts w:hint="default" w:ascii="Arial" w:hAnsi="Arial" w:cs="Arial"/>
      <w:color w:val="FF0000"/>
      <w:sz w:val="22"/>
      <w:szCs w:val="22"/>
      <w:u w:val="none"/>
    </w:rPr>
  </w:style>
  <w:style w:type="character" w:customStyle="1" w:styleId="30">
    <w:name w:val="font111"/>
    <w:qFormat/>
    <w:uiPriority w:val="0"/>
    <w:rPr>
      <w:rFonts w:hint="eastAsia" w:ascii="宋体" w:hAnsi="宋体" w:eastAsia="宋体" w:cs="宋体"/>
      <w:b/>
      <w:color w:val="000000"/>
      <w:sz w:val="32"/>
      <w:szCs w:val="32"/>
      <w:u w:val="none"/>
    </w:rPr>
  </w:style>
  <w:style w:type="character" w:customStyle="1" w:styleId="31">
    <w:name w:val="font181"/>
    <w:qFormat/>
    <w:uiPriority w:val="0"/>
    <w:rPr>
      <w:rFonts w:hint="default" w:ascii="Calibri" w:hAnsi="Calibri" w:cs="Calibri"/>
      <w:color w:val="000000"/>
      <w:sz w:val="22"/>
      <w:szCs w:val="22"/>
      <w:u w:val="none"/>
    </w:rPr>
  </w:style>
  <w:style w:type="character" w:customStyle="1" w:styleId="32">
    <w:name w:val="font21"/>
    <w:qFormat/>
    <w:uiPriority w:val="0"/>
    <w:rPr>
      <w:rFonts w:hint="default" w:ascii="Arial" w:hAnsi="Arial" w:cs="Arial"/>
      <w:color w:val="000000"/>
      <w:sz w:val="20"/>
      <w:szCs w:val="20"/>
      <w:u w:val="none"/>
    </w:rPr>
  </w:style>
  <w:style w:type="character" w:customStyle="1" w:styleId="33">
    <w:name w:val="font01"/>
    <w:qFormat/>
    <w:uiPriority w:val="0"/>
    <w:rPr>
      <w:rFonts w:hint="default" w:ascii="Arial" w:hAnsi="Arial" w:cs="Arial"/>
      <w:color w:val="FF0000"/>
      <w:sz w:val="22"/>
      <w:szCs w:val="22"/>
      <w:u w:val="none"/>
    </w:rPr>
  </w:style>
  <w:style w:type="character" w:customStyle="1" w:styleId="34">
    <w:name w:val="font141"/>
    <w:qFormat/>
    <w:uiPriority w:val="0"/>
    <w:rPr>
      <w:rFonts w:hint="default" w:ascii="Arial" w:hAnsi="Arial" w:cs="Arial"/>
      <w:b/>
      <w:color w:val="000000"/>
      <w:sz w:val="20"/>
      <w:szCs w:val="20"/>
      <w:u w:val="none"/>
    </w:rPr>
  </w:style>
  <w:style w:type="character" w:customStyle="1" w:styleId="35">
    <w:name w:val="font101"/>
    <w:qFormat/>
    <w:uiPriority w:val="0"/>
    <w:rPr>
      <w:rFonts w:hint="default" w:ascii="Calibri" w:hAnsi="Calibri" w:cs="Calibri"/>
      <w:color w:val="FF0000"/>
      <w:sz w:val="22"/>
      <w:szCs w:val="22"/>
      <w:u w:val="none"/>
    </w:rPr>
  </w:style>
  <w:style w:type="character" w:customStyle="1" w:styleId="36">
    <w:name w:val="font51"/>
    <w:qFormat/>
    <w:uiPriority w:val="0"/>
    <w:rPr>
      <w:rFonts w:hint="default" w:ascii="Arial" w:hAnsi="Arial" w:cs="Arial"/>
      <w:color w:val="000000"/>
      <w:sz w:val="22"/>
      <w:szCs w:val="22"/>
      <w:u w:val="none"/>
    </w:rPr>
  </w:style>
  <w:style w:type="character" w:customStyle="1" w:styleId="37">
    <w:name w:val="font81"/>
    <w:qFormat/>
    <w:uiPriority w:val="0"/>
    <w:rPr>
      <w:rFonts w:hint="eastAsia" w:ascii="宋体" w:hAnsi="宋体" w:eastAsia="宋体" w:cs="宋体"/>
      <w:b/>
      <w:color w:val="000000"/>
      <w:sz w:val="20"/>
      <w:szCs w:val="20"/>
      <w:u w:val="none"/>
    </w:rPr>
  </w:style>
  <w:style w:type="character" w:customStyle="1" w:styleId="38">
    <w:name w:val="font31"/>
    <w:qFormat/>
    <w:uiPriority w:val="0"/>
    <w:rPr>
      <w:rFonts w:hint="default" w:ascii="Calibri" w:hAnsi="Calibri" w:cs="Calibri"/>
      <w:b/>
      <w:color w:val="000000"/>
      <w:sz w:val="20"/>
      <w:szCs w:val="20"/>
      <w:u w:val="none"/>
    </w:rPr>
  </w:style>
  <w:style w:type="character" w:customStyle="1" w:styleId="39">
    <w:name w:val="font151"/>
    <w:qFormat/>
    <w:uiPriority w:val="0"/>
    <w:rPr>
      <w:rFonts w:hint="eastAsia" w:ascii="宋体" w:hAnsi="宋体" w:eastAsia="宋体" w:cs="宋体"/>
      <w:color w:val="000000"/>
      <w:sz w:val="22"/>
      <w:szCs w:val="22"/>
      <w:u w:val="none"/>
    </w:rPr>
  </w:style>
  <w:style w:type="character" w:customStyle="1" w:styleId="40">
    <w:name w:val="font91"/>
    <w:qFormat/>
    <w:uiPriority w:val="0"/>
    <w:rPr>
      <w:rFonts w:hint="default" w:ascii="Calibri" w:hAnsi="Calibri" w:cs="Calibri"/>
      <w:b/>
      <w:color w:val="000000"/>
      <w:sz w:val="22"/>
      <w:szCs w:val="22"/>
      <w:u w:val="none"/>
    </w:rPr>
  </w:style>
  <w:style w:type="character" w:customStyle="1" w:styleId="41">
    <w:name w:val="font161"/>
    <w:qFormat/>
    <w:uiPriority w:val="0"/>
    <w:rPr>
      <w:rFonts w:hint="default" w:ascii="Arial" w:hAnsi="Arial" w:cs="Arial"/>
      <w:b/>
      <w:color w:val="000000"/>
      <w:sz w:val="22"/>
      <w:szCs w:val="22"/>
      <w:u w:val="none"/>
    </w:rPr>
  </w:style>
  <w:style w:type="character" w:customStyle="1" w:styleId="42">
    <w:name w:val="font41"/>
    <w:qFormat/>
    <w:uiPriority w:val="0"/>
    <w:rPr>
      <w:rFonts w:hint="default" w:ascii="Calibri" w:hAnsi="Calibri" w:cs="Calibri"/>
      <w:color w:val="000000"/>
      <w:sz w:val="22"/>
      <w:szCs w:val="22"/>
      <w:u w:val="none"/>
    </w:rPr>
  </w:style>
  <w:style w:type="paragraph" w:customStyle="1" w:styleId="43">
    <w:name w:val="列出段落1"/>
    <w:basedOn w:val="1"/>
    <w:qFormat/>
    <w:uiPriority w:val="34"/>
    <w:pPr>
      <w:ind w:firstLine="420" w:firstLineChars="200"/>
    </w:pPr>
    <w:rPr>
      <w:rFonts w:ascii="Calibri" w:hAnsi="Calibri"/>
      <w:szCs w:val="22"/>
    </w:rPr>
  </w:style>
  <w:style w:type="paragraph" w:customStyle="1" w:styleId="44">
    <w:name w:val="Revision"/>
    <w:unhideWhenUsed/>
    <w:qFormat/>
    <w:uiPriority w:val="99"/>
    <w:rPr>
      <w:rFonts w:ascii="Times New Roman" w:hAnsi="Times New Roman" w:eastAsia="宋体" w:cs="Times New Roman"/>
      <w:kern w:val="2"/>
      <w:sz w:val="21"/>
      <w:lang w:val="en-US" w:eastAsia="zh-CN" w:bidi="ar-SA"/>
    </w:rPr>
  </w:style>
  <w:style w:type="paragraph" w:customStyle="1" w:styleId="45">
    <w:name w:val="Normal_38"/>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zbgs</Company>
  <Pages>8</Pages>
  <Words>5482</Words>
  <Characters>5613</Characters>
  <Lines>55</Lines>
  <Paragraphs>15</Paragraphs>
  <TotalTime>1</TotalTime>
  <ScaleCrop>false</ScaleCrop>
  <LinksUpToDate>false</LinksUpToDate>
  <CharactersWithSpaces>5774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2023-08-15T06:47:00Z</dcterms:created>
  <dc:creator>sxyx</dc:creator>
  <cp:lastModifiedBy>人云日月</cp:lastModifiedBy>
  <cp:lastPrinted>2011-10-17T00:50:00Z</cp:lastPrinted>
  <dcterms:modified xsi:type="dcterms:W3CDTF">2025-12-13T06:42:42Z</dcterms:modified>
  <dc:title>陕西省卫生厅一次性注射器采购项目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D1E02C71AC314DA3B8B717C3DCA11699</vt:lpwstr>
  </property>
  <property fmtid="{D5CDD505-2E9C-101B-9397-08002B2CF9AE}" pid="4" name="KSOTemplateDocerSaveRecord">
    <vt:lpwstr>eyJoZGlkIjoiOWUwOWY1OThjOTBmY2I1M2U5OGEyOWE4OWU3MTI0MDIiLCJ1c2VySWQiOiI4OTYzMjYwMzcifQ==</vt:lpwstr>
  </property>
</Properties>
</file>