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版本号：ZHPM-ZC-2515520251212001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西安市城市生命线安全工程综合管廊专项项目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ZHPM-ZC-25155</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西安市城市生命线安全工程综合管廊专项项目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ZHPM-ZC-25155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西安市城市生命线安全工程综合管廊专项项目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本项目主要内容为：为提升西安市城市生命线风险预防及处置的科学化、信息化、标准化水平，对昆明路综合管廊跨f3地裂缝区段加装自动化结构监测设备，提高城市重大风险防控与突发事件处置能力。 昆明路综合管廊西起西三环，东至西二环，全长3742米。地裂缝与昆明路管廊斜交，地裂缝影响范围138米。对昆明路管廊跨f3地裂缝区段结构变形采用自动化监测方式进行监测。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须提供法定代表人身份证明及身份证复印件；授权代表参与磋商，须提供法定代表人授权书（附法定代表人、被授权人身份证复印件）及被授权人身份证复印件。</w:t>
      </w:r>
    </w:p>
    <w:p>
      <w:pPr>
        <w:pStyle w:val="null3"/>
      </w:pPr>
      <w:r>
        <w:rPr>
          <w:rFonts w:ascii="仿宋_GB2312" w:hAnsi="仿宋_GB2312" w:cs="仿宋_GB2312" w:eastAsia="仿宋_GB2312"/>
        </w:rPr>
        <w:t>2、资质证书：供应商须具备工程勘察综合资质甲级或岩土工程（监测）乙级资质。</w:t>
      </w:r>
    </w:p>
    <w:p>
      <w:pPr>
        <w:pStyle w:val="null3"/>
      </w:pPr>
      <w:r>
        <w:rPr>
          <w:rFonts w:ascii="仿宋_GB2312" w:hAnsi="仿宋_GB2312" w:cs="仿宋_GB2312" w:eastAsia="仿宋_GB2312"/>
        </w:rPr>
        <w:t>3、项目经理：拟派项目经理具备工程测量或岩土工程专业高级职称。</w:t>
      </w:r>
    </w:p>
    <w:p>
      <w:pPr>
        <w:pStyle w:val="null3"/>
      </w:pPr>
      <w:r>
        <w:rPr>
          <w:rFonts w:ascii="仿宋_GB2312" w:hAnsi="仿宋_GB2312" w:cs="仿宋_GB2312" w:eastAsia="仿宋_GB2312"/>
        </w:rPr>
        <w:t>4、不接受联合体磋商：本项目不接受联合体磋商。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029-61328861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西安市高新区丈八街办团结南路35号高新新天地2号楼2402室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说明：供应商向采购人开具10%的履约保函（保函有效期覆盖项目整个履约及运维期）</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成交金额为基数，参照国家计委颁发的《招标代理服务收费管理暂行办法》(计价格[2002]1980号)和国家发展改革委员会办公厅颁发的《关于招标代理服务收费有关问题的通知》(发改办价格[2003]857号)的有关规定执行。 开户名称：中昊项目管理有限公司 开户银行：中国民生银行股份有限公司西安枫林绿洲支行 账号:160927203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地址：西安市高新区丈八街办团结南路35号高新新天地2号楼2402室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本项目主要内容为：为提升西安市城市生命线风险预防及处置的科学化、信息化、标准化水平，对昆明路综合管廊跨f3地裂缝区段加装自动化结构监测设备，提高城市重大风险防控与突发事件处置能力。 昆明路综合管廊西起西三环，东至西二环，全长3742米。地裂缝与昆明路管廊斜交，地裂缝影响范围138米。对昆明路管廊跨f3地裂缝区段结构变形采用自动化监测方式进行监测。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295,000.00</w:t>
      </w:r>
    </w:p>
    <w:p>
      <w:pPr>
        <w:pStyle w:val="null3"/>
      </w:pPr>
      <w:r>
        <w:rPr>
          <w:rFonts w:ascii="仿宋_GB2312" w:hAnsi="仿宋_GB2312" w:cs="仿宋_GB2312" w:eastAsia="仿宋_GB2312"/>
        </w:rPr>
        <w:t>采购包最高限价（元）: 295,000.00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西安市城市生命线安全工程综合管廊专项项目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标的名称：西安市城市生命线安全工程综合管廊专项项目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.项目背景与目标：</w:t>
            </w:r>
          </w:p>
          <w:p>
            <w:pPr>
              <w:pStyle w:val="null3"/>
              <w:ind w:firstLine="400"/>
              <w:jc w:val="both"/>
            </w:pPr>
            <w:r>
              <w:rPr>
                <w:rFonts w:ascii="仿宋_GB2312" w:hAnsi="仿宋_GB2312" w:cs="仿宋_GB2312" w:eastAsia="仿宋_GB2312"/>
              </w:rPr>
              <w:t>本项目主要</w:t>
            </w:r>
            <w:r>
              <w:rPr>
                <w:rFonts w:ascii="仿宋_GB2312" w:hAnsi="仿宋_GB2312" w:cs="仿宋_GB2312" w:eastAsia="仿宋_GB2312"/>
              </w:rPr>
              <w:t>内容为：为提升西安市城市生命线风险预防及处置的科学化、信息化、标准化水平，对昆明路综合管廊跨</w:t>
            </w:r>
            <w:r>
              <w:rPr>
                <w:rFonts w:ascii="仿宋_GB2312" w:hAnsi="仿宋_GB2312" w:cs="仿宋_GB2312" w:eastAsia="仿宋_GB2312"/>
              </w:rPr>
              <w:t>f3</w:t>
            </w:r>
            <w:r>
              <w:rPr>
                <w:rFonts w:ascii="仿宋_GB2312" w:hAnsi="仿宋_GB2312" w:cs="仿宋_GB2312" w:eastAsia="仿宋_GB2312"/>
              </w:rPr>
              <w:t>地裂缝区段加装自动化结构监测设备，提高城市重大风险防控与突发事件处置能力。</w:t>
            </w:r>
          </w:p>
          <w:p>
            <w:pPr>
              <w:pStyle w:val="null3"/>
              <w:ind w:firstLine="400"/>
              <w:jc w:val="both"/>
            </w:pPr>
            <w:r>
              <w:rPr>
                <w:rFonts w:ascii="仿宋_GB2312" w:hAnsi="仿宋_GB2312" w:cs="仿宋_GB2312" w:eastAsia="仿宋_GB2312"/>
              </w:rPr>
              <w:t>昆明路综合管廊西起西三环，东至西二环，全长</w:t>
            </w:r>
            <w:r>
              <w:rPr>
                <w:rFonts w:ascii="仿宋_GB2312" w:hAnsi="仿宋_GB2312" w:cs="仿宋_GB2312" w:eastAsia="仿宋_GB2312"/>
              </w:rPr>
              <w:t>3742米。地裂缝与昆明路管廊斜交，地裂缝影响范围138米。对昆明路管廊跨</w:t>
            </w:r>
            <w:r>
              <w:rPr>
                <w:rFonts w:ascii="仿宋_GB2312" w:hAnsi="仿宋_GB2312" w:cs="仿宋_GB2312" w:eastAsia="仿宋_GB2312"/>
              </w:rPr>
              <w:t>f3</w:t>
            </w:r>
            <w:r>
              <w:rPr>
                <w:rFonts w:ascii="仿宋_GB2312" w:hAnsi="仿宋_GB2312" w:cs="仿宋_GB2312" w:eastAsia="仿宋_GB2312"/>
              </w:rPr>
              <w:t>地裂缝区段结构变形采用自动化监测方式进行监测。</w:t>
            </w:r>
          </w:p>
          <w:p>
            <w:pPr>
              <w:pStyle w:val="null3"/>
              <w:jc w:val="both"/>
            </w:pPr>
            <w:r>
              <w:rPr>
                <w:rFonts w:ascii="仿宋_GB2312" w:hAnsi="仿宋_GB2312" w:cs="仿宋_GB2312" w:eastAsia="仿宋_GB2312"/>
              </w:rPr>
              <w:t>二</w:t>
            </w:r>
            <w:r>
              <w:rPr>
                <w:rFonts w:ascii="仿宋_GB2312" w:hAnsi="仿宋_GB2312" w:cs="仿宋_GB2312" w:eastAsia="仿宋_GB2312"/>
              </w:rPr>
              <w:t>.采购内容及要求</w:t>
            </w:r>
          </w:p>
          <w:p>
            <w:pPr>
              <w:pStyle w:val="null3"/>
              <w:jc w:val="both"/>
            </w:pPr>
            <w:r>
              <w:rPr>
                <w:rFonts w:ascii="仿宋_GB2312" w:hAnsi="仿宋_GB2312" w:cs="仿宋_GB2312" w:eastAsia="仿宋_GB2312"/>
              </w:rPr>
              <w:t>本项目主要采购内容具体包括以下方面：</w:t>
            </w:r>
          </w:p>
          <w:tbl>
            <w:tblPr>
              <w:tblInd w:type="dxa" w:w="120"/>
              <w:tblBorders>
                <w:top w:val="none" w:color="000000" w:sz="4"/>
                <w:left w:val="none" w:color="000000" w:sz="4"/>
                <w:bottom w:val="none" w:color="000000" w:sz="4"/>
                <w:right w:val="none" w:color="000000" w:sz="4"/>
                <w:insideH w:val="none"/>
                <w:insideV w:val="none"/>
              </w:tblBorders>
            </w:tblPr>
            <w:tblGrid>
              <w:gridCol w:w="735"/>
              <w:gridCol w:w="1818"/>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采购内容模块</w:t>
                  </w:r>
                </w:p>
              </w:tc>
              <w:tc>
                <w:tcPr>
                  <w:tcW w:type="dxa" w:w="1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具体说明与要求</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设备采购与安装</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应包括水平位移、竖向位移等监测，</w:t>
                  </w:r>
                  <w:r>
                    <w:rPr>
                      <w:rFonts w:ascii="仿宋_GB2312" w:hAnsi="仿宋_GB2312" w:cs="仿宋_GB2312" w:eastAsia="仿宋_GB2312"/>
                      <w:sz w:val="19"/>
                    </w:rPr>
                    <w:t>包括但不限于风险监测设备（如传感器、监测仪器）、</w:t>
                  </w:r>
                  <w:r>
                    <w:rPr>
                      <w:rFonts w:ascii="仿宋_GB2312" w:hAnsi="仿宋_GB2312" w:cs="仿宋_GB2312" w:eastAsia="仿宋_GB2312"/>
                      <w:sz w:val="19"/>
                    </w:rPr>
                    <w:t>数据上传、</w:t>
                  </w:r>
                  <w:r>
                    <w:rPr>
                      <w:rFonts w:ascii="仿宋_GB2312" w:hAnsi="仿宋_GB2312" w:cs="仿宋_GB2312" w:eastAsia="仿宋_GB2312"/>
                      <w:sz w:val="19"/>
                    </w:rPr>
                    <w:t>预警处置等。需明确设备的技术参数、性能指标、安装标准和验收标准。</w:t>
                  </w:r>
                  <w:r>
                    <w:rPr>
                      <w:rFonts w:ascii="仿宋_GB2312" w:hAnsi="仿宋_GB2312" w:cs="仿宋_GB2312" w:eastAsia="仿宋_GB2312"/>
                      <w:sz w:val="19"/>
                    </w:rPr>
                    <w:t>满足项目实际要求。</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系统集成与调试</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确保新加装设备与现有管廊设施、管理平台的有效集成和数据联通，实现统一监控和管理。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技术培训与售后服务</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供应商需提供完整的操作培训、技术文档，并明确售后服务体系及响应时间。</w:t>
                  </w:r>
                </w:p>
              </w:tc>
            </w:tr>
          </w:tbl>
          <w:p>
            <w:pPr>
              <w:pStyle w:val="null3"/>
              <w:jc w:val="both"/>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服务要求：</w:t>
            </w:r>
            <w:r>
              <w:rPr>
                <w:rFonts w:ascii="仿宋_GB2312" w:hAnsi="仿宋_GB2312" w:cs="仿宋_GB2312" w:eastAsia="仿宋_GB2312"/>
              </w:rPr>
              <w:t>能够根据《西安市城市生命线综合管廊风险评估报告》中对昆明路综合管廊跨</w:t>
            </w:r>
            <w:r>
              <w:rPr>
                <w:rFonts w:ascii="仿宋_GB2312" w:hAnsi="仿宋_GB2312" w:cs="仿宋_GB2312" w:eastAsia="仿宋_GB2312"/>
              </w:rPr>
              <w:t>f3</w:t>
            </w:r>
            <w:r>
              <w:rPr>
                <w:rFonts w:ascii="仿宋_GB2312" w:hAnsi="仿宋_GB2312" w:cs="仿宋_GB2312" w:eastAsia="仿宋_GB2312"/>
              </w:rPr>
              <w:t>地裂缝区段结构监测需求制定监测方案，监测方案满足国家、地方、行业技术规范，监测数据能够及时上传信息化管理平台并完成数据统计分析及监测结果评价，监测结果能够对昆明路合管廊跨</w:t>
            </w:r>
            <w:r>
              <w:rPr>
                <w:rFonts w:ascii="仿宋_GB2312" w:hAnsi="仿宋_GB2312" w:cs="仿宋_GB2312" w:eastAsia="仿宋_GB2312"/>
              </w:rPr>
              <w:t>f3</w:t>
            </w:r>
            <w:r>
              <w:rPr>
                <w:rFonts w:ascii="仿宋_GB2312" w:hAnsi="仿宋_GB2312" w:cs="仿宋_GB2312" w:eastAsia="仿宋_GB2312"/>
              </w:rPr>
              <w:t>地裂缝区段的安全运营有指导作用。</w:t>
            </w:r>
            <w:r>
              <w:rPr>
                <w:rFonts w:ascii="仿宋_GB2312" w:hAnsi="仿宋_GB2312" w:cs="仿宋_GB2312" w:eastAsia="仿宋_GB2312"/>
              </w:rPr>
              <w:t>若遇突发状况，应及时向</w:t>
            </w:r>
            <w:r>
              <w:rPr>
                <w:rFonts w:ascii="仿宋_GB2312" w:hAnsi="仿宋_GB2312" w:cs="仿宋_GB2312" w:eastAsia="仿宋_GB2312"/>
              </w:rPr>
              <w:t>采购</w:t>
            </w:r>
            <w:r>
              <w:rPr>
                <w:rFonts w:ascii="仿宋_GB2312" w:hAnsi="仿宋_GB2312" w:cs="仿宋_GB2312" w:eastAsia="仿宋_GB2312"/>
              </w:rPr>
              <w:t>方预警，并出具报告。</w:t>
            </w:r>
          </w:p>
          <w:p>
            <w:pPr>
              <w:pStyle w:val="null3"/>
              <w:jc w:val="both"/>
            </w:pP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服务标准：需满足</w:t>
            </w:r>
            <w:r>
              <w:rPr>
                <w:rFonts w:ascii="仿宋_GB2312" w:hAnsi="仿宋_GB2312" w:cs="仿宋_GB2312" w:eastAsia="仿宋_GB2312"/>
              </w:rPr>
              <w:t>下列</w:t>
            </w:r>
            <w:r>
              <w:rPr>
                <w:rFonts w:ascii="仿宋_GB2312" w:hAnsi="仿宋_GB2312" w:cs="仿宋_GB2312" w:eastAsia="仿宋_GB2312"/>
              </w:rPr>
              <w:t>国家、地方及行业相关合格标准，并符合采购人提出的具体要求。</w:t>
            </w:r>
          </w:p>
          <w:p>
            <w:pPr>
              <w:pStyle w:val="null3"/>
              <w:jc w:val="both"/>
            </w:pPr>
            <w:r>
              <w:rPr>
                <w:rFonts w:ascii="仿宋_GB2312" w:hAnsi="仿宋_GB2312" w:cs="仿宋_GB2312" w:eastAsia="仿宋_GB2312"/>
              </w:rPr>
              <w:t>《城市地下综合管廊运行维护及安全技术标准》</w:t>
            </w:r>
            <w:r>
              <w:rPr>
                <w:rFonts w:ascii="仿宋_GB2312" w:hAnsi="仿宋_GB2312" w:cs="仿宋_GB2312" w:eastAsia="仿宋_GB2312"/>
              </w:rPr>
              <w:t>GB 51345-2019；</w:t>
            </w:r>
          </w:p>
          <w:p>
            <w:pPr>
              <w:pStyle w:val="null3"/>
              <w:jc w:val="both"/>
            </w:pPr>
            <w:r>
              <w:rPr>
                <w:rFonts w:ascii="仿宋_GB2312" w:hAnsi="仿宋_GB2312" w:cs="仿宋_GB2312" w:eastAsia="仿宋_GB2312"/>
              </w:rPr>
              <w:t>《城镇综合管廊监控与报警系统工程技术标准》</w:t>
            </w:r>
            <w:r>
              <w:rPr>
                <w:rFonts w:ascii="仿宋_GB2312" w:hAnsi="仿宋_GB2312" w:cs="仿宋_GB2312" w:eastAsia="仿宋_GB2312"/>
              </w:rPr>
              <w:t>GB/T 51274；</w:t>
            </w:r>
          </w:p>
          <w:p>
            <w:pPr>
              <w:pStyle w:val="null3"/>
              <w:jc w:val="both"/>
            </w:pPr>
            <w:r>
              <w:rPr>
                <w:rFonts w:ascii="仿宋_GB2312" w:hAnsi="仿宋_GB2312" w:cs="仿宋_GB2312" w:eastAsia="仿宋_GB2312"/>
              </w:rPr>
              <w:t>《工程测量标准》</w:t>
            </w:r>
            <w:r>
              <w:rPr>
                <w:rFonts w:ascii="仿宋_GB2312" w:hAnsi="仿宋_GB2312" w:cs="仿宋_GB2312" w:eastAsia="仿宋_GB2312"/>
              </w:rPr>
              <w:t>GB 50026-2020；</w:t>
            </w:r>
          </w:p>
          <w:p>
            <w:pPr>
              <w:pStyle w:val="null3"/>
              <w:jc w:val="both"/>
            </w:pPr>
            <w:r>
              <w:rPr>
                <w:rFonts w:ascii="仿宋_GB2312" w:hAnsi="仿宋_GB2312" w:cs="仿宋_GB2312" w:eastAsia="仿宋_GB2312"/>
              </w:rPr>
              <w:t>《建筑变形测量规范》</w:t>
            </w:r>
            <w:r>
              <w:rPr>
                <w:rFonts w:ascii="仿宋_GB2312" w:hAnsi="仿宋_GB2312" w:cs="仿宋_GB2312" w:eastAsia="仿宋_GB2312"/>
              </w:rPr>
              <w:t>JGJ 8-2016；</w:t>
            </w:r>
          </w:p>
          <w:p>
            <w:pPr>
              <w:pStyle w:val="null3"/>
              <w:jc w:val="both"/>
            </w:pPr>
            <w:r>
              <w:rPr>
                <w:rFonts w:ascii="仿宋_GB2312" w:hAnsi="仿宋_GB2312" w:cs="仿宋_GB2312" w:eastAsia="仿宋_GB2312"/>
              </w:rPr>
              <w:t>《陕西省城镇综合管廊运行管理与维护技术规程</w:t>
            </w:r>
            <w:r>
              <w:rPr>
                <w:rFonts w:ascii="仿宋_GB2312" w:hAnsi="仿宋_GB2312" w:cs="仿宋_GB2312" w:eastAsia="仿宋_GB2312"/>
              </w:rPr>
              <w:t>DBJ61/T165-2020；</w:t>
            </w:r>
          </w:p>
          <w:p>
            <w:pPr>
              <w:pStyle w:val="null3"/>
              <w:jc w:val="both"/>
            </w:pPr>
            <w:r>
              <w:rPr>
                <w:rFonts w:ascii="仿宋_GB2312" w:hAnsi="仿宋_GB2312" w:cs="仿宋_GB2312" w:eastAsia="仿宋_GB2312"/>
              </w:rPr>
              <w:t>《城市综合管廊工程监测技术规程》</w:t>
            </w:r>
            <w:r>
              <w:rPr>
                <w:rFonts w:ascii="仿宋_GB2312" w:hAnsi="仿宋_GB2312" w:cs="仿宋_GB2312" w:eastAsia="仿宋_GB2312"/>
              </w:rPr>
              <w:t>T/CCIAT0034-2021；</w:t>
            </w:r>
          </w:p>
          <w:p>
            <w:pPr>
              <w:pStyle w:val="null3"/>
              <w:jc w:val="both"/>
            </w:pPr>
            <w:r>
              <w:rPr>
                <w:rFonts w:ascii="仿宋_GB2312" w:hAnsi="仿宋_GB2312" w:cs="仿宋_GB2312" w:eastAsia="仿宋_GB2312"/>
              </w:rPr>
              <w:t>《综合管廊物联网系统技术规范》</w:t>
            </w:r>
            <w:r>
              <w:rPr>
                <w:rFonts w:ascii="仿宋_GB2312" w:hAnsi="仿宋_GB2312" w:cs="仿宋_GB2312" w:eastAsia="仿宋_GB2312"/>
              </w:rPr>
              <w:t>T/CAS 773-2023；</w:t>
            </w:r>
          </w:p>
          <w:p>
            <w:pPr>
              <w:pStyle w:val="null3"/>
            </w:pPr>
            <w:r>
              <w:rPr>
                <w:rFonts w:ascii="仿宋_GB2312" w:hAnsi="仿宋_GB2312" w:cs="仿宋_GB2312" w:eastAsia="仿宋_GB2312"/>
                <w:sz w:val="21"/>
              </w:rPr>
              <w:t>《城市综合管廊智慧化管理技术标准》</w:t>
            </w:r>
            <w:r>
              <w:rPr>
                <w:rFonts w:ascii="仿宋_GB2312" w:hAnsi="仿宋_GB2312" w:cs="仿宋_GB2312" w:eastAsia="仿宋_GB2312"/>
                <w:sz w:val="21"/>
              </w:rPr>
              <w:t>T/CMEA 39-2023。</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合同签订后3个月内安装测试完成。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合同签订后，供应商向采购人开具10%的履约保函（保函有效期覆盖项目整个履约及运维期），技术监测方案通过专家评审后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项目安装测试完成，验收合格后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2023年度或2024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法定代表人直接参加磋商，须提供法定代表人身份证明及身份证复印件；授权代表参与磋商，须提供法定代表人授权书（附法定代表人、被授权人身份证复印件）及被授权人身份证复印件。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供应商须具备工程勘察综合资质甲级或岩土工程（监测）乙级资质。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拟派项目经理具备工程测量或岩土工程专业高级职称。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服务条款偏离表.docx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服务条款偏离表.docx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根据各供应商针对本项目提供的服务方案，包括 ①工作目标②实施方案③本项目技术流程、重点、难点把控④项目实际设备等内容等。 2、赋分标准 （1）方案内容科学合理、可操作性强、方案内容齐全、完全满足项目需求，得20分； （2）方案内容可行且科学合理可操作性较强、方案内容较齐全，满足项目需求，得16分； （3）方案内容较科学合理有一定的操作性、方案内容较齐全，基本满足项目需求得12分； （4）方案内容可行性一般，方案内容基本合理，得8分； （5）方案内容欠缺、缺乏科学性合理性、可操作性较差，得4分。 未提供或其他得0分。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1、评审内容 根据各供应商针对本项目提供的服务质量保障措施，包括①项目服务时间②服务质量保障③服务人员到位情况等内容。 2、赋分标准 （1）服务质量保障措施科学合理、可操作性强、方案内容齐全、完全满足项目需求，得10分； （2）服务质量保障措施可行且科学合理可操作性较强、方案内容较齐全，满足项目需求，得8分； （3）服务质量保障措施较科学合理有一定的操作性、方案内容较齐全，基本满足项目需求得6分； （4）服务质量保障措施可行性一般，方案内容基本合理，得4分； （5）服务质量保障措施内容欠缺、缺乏科学性合理性、可操作性较差，得2分。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1、评审内容 根据各供应商针对本项目提供的应急方案。 2、赋分标准 （1）方案内容科学合理、可操作性强、方案内容齐全、完全满足项目需求，得10分； （2）方案内容可行且科学合理可操作性较强、方案内容较齐全，满足项目需求，得8分； （3）方案内容较科学合理有一定的操作性、方案内容较齐全，基本满足项目需求得6分； （4）方案内容可行性一般，方案内容基本合理，得4分； （5）方案内容欠缺、缺乏科学性合理性、可操作性较差，得2分。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安全控制措施</w:t>
            </w:r>
          </w:p>
        </w:tc>
        <w:tc>
          <w:tcPr>
            <w:tcW w:type="dxa" w:w="2492"/>
          </w:tcPr>
          <w:p>
            <w:pPr>
              <w:pStyle w:val="null3"/>
            </w:pPr>
            <w:r>
              <w:rPr>
                <w:rFonts w:ascii="仿宋_GB2312" w:hAnsi="仿宋_GB2312" w:cs="仿宋_GB2312" w:eastAsia="仿宋_GB2312"/>
              </w:rPr>
              <w:t>1、评审内容 根据各供应商针对本项目提供的安全控制措施，包括①项目安全目标②安全管理制度③安全保证措施等内容。 2、赋分标准 （1）安全控制措施科学合理、可操作性强、方案内容齐全、完全满足项目需求，得10分； （2）安全控制措施可行且科学合理可操作性较强、方案内容较齐全，满足项目需求，得8分； （3）安全控制措施较科学合理有一定的操作性、方案内容较齐全，基本满足项目需求得6分； （4）安全控制措施可行性一般，方案内容基本合理，得4分； （5）安全控制措施内容欠缺、缺乏科学性合理性、可操作性较差，得2分。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培训售后方案</w:t>
            </w:r>
          </w:p>
        </w:tc>
        <w:tc>
          <w:tcPr>
            <w:tcW w:type="dxa" w:w="2492"/>
          </w:tcPr>
          <w:p>
            <w:pPr>
              <w:pStyle w:val="null3"/>
            </w:pPr>
            <w:r>
              <w:rPr>
                <w:rFonts w:ascii="仿宋_GB2312" w:hAnsi="仿宋_GB2312" w:cs="仿宋_GB2312" w:eastAsia="仿宋_GB2312"/>
              </w:rPr>
              <w:t>1、评审内容 培训方案包括①培训总体方案②重难点、问题分析及解决方案③售后方案等内容。 2、赋分标准 （1）方案完整科学；内容紧扣核心需求；形式多样、安排高效；能有效整合资源；突出实践性、操作性；计10分； （2）方案较为完整科学；内容符合核心需求；形式多样、安排基本合理；能整合资源；突出实践性、操作性；计8分； （3）方案完整；内容基本满足核心需求；形式重复、安排不够合理；资源整合能力弱；基本体现实践性、操作性；计6分； （4）方案基本可行；内容基本满足需求；形式重复、安排不够合理；资源整合能力较弱；基本体现实践性、操作性；计4分； （5）方案基本可行；内容模糊，缺乏针对性；形式单一、安排存在漏洞；缺乏实践性、操作性；计2分；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1、评审内容 根据各供应商针对本项目拟投入人员配备，包括①拟投入人员清单②岗位分工及责任制度③人员工作经验④人员管理制度等内容。 2、赋分标准 （1）拟投入人员配备合理、人员数量充足、职责明确、分工清晰、工作经历丰富、能够完全满足采购所需的得，得10分； （2）拟投入人员配备较为合理、人员数量较充足、职责、分工较清晰、工作经历较丰富、能满足采购所需的，得8分； （3）拟投入人员配备较为合理、人员数量基本充足、职责、分工基本清晰、工作经历、基本能满足基本采购所需的，得6分； （4）拟投入人员配备较为合理、人员数量一般、职责、分工一般、缺少部分工作经历、勉强能满足基本采购所需的，得4分； （5）拟派人员配备不合理且有欠缺、人员数量无保证、职责、分工不明确、工作经历较少、不能够满足采购所需的，得2分。 未提供或其他得0分。 注：须提供人员相关证明材料（包括但不限于身份证、执业证书、劳动合同、从业证明等）证明材料。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服务质量保证措施及承诺，包括但不限于信息的及时反馈、实施工作中的主动沟通汇报；②拟派人员专业能力承诺，包括但不限于拟派人员专业能力的承诺、若采购人对服务不满意，可要求更换拟派人员等； 2、赋分标准 （1）承诺内容科学合理、可操作性强、内容齐全、完全满足项目需求，得10分； （2）承诺内容可行且科学合理可操作性较强、内容较齐全，基本满足项目需求，得8分； （3）承诺内容较科学合理有一定的操作性、内容较齐全，基本满足项目需求得6分； （4）承诺内容可行性一般，内容基本合理，得4分； （5）承诺内容欠缺、缺乏科学性合理性、可操作性较差，得2分。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1、评审内容：供应商提供2022年12月1日至今（以合同签订日期为准）类似项目业绩，每一份计2分，最多计10分。 2、评审标准：业绩证明材料（以磋商响应文件中提供的合同复印件为准，合同关键页内容须包含合同名称、签订双方名称、签订时间、主要服务内容、双方盖章页等）。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