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3CD4A">
      <w:pPr>
        <w:widowControl w:val="0"/>
        <w:kinsoku/>
        <w:autoSpaceDE/>
        <w:autoSpaceDN/>
        <w:adjustRightInd/>
        <w:snapToGrid/>
        <w:spacing w:line="360" w:lineRule="auto"/>
        <w:jc w:val="center"/>
        <w:textAlignment w:val="auto"/>
        <w:outlineLvl w:val="0"/>
        <w:rPr>
          <w:rFonts w:hint="eastAsia" w:ascii="仿宋" w:hAnsi="仿宋" w:eastAsia="仿宋" w:cs="仿宋"/>
          <w:snapToGrid/>
          <w:kern w:val="2"/>
          <w:szCs w:val="20"/>
          <w:lang w:eastAsia="zh-CN"/>
        </w:rPr>
      </w:pPr>
      <w:bookmarkStart w:id="0" w:name="_Toc23726"/>
      <w:bookmarkStart w:id="1" w:name="_Toc25908"/>
      <w:bookmarkStart w:id="2" w:name="_Toc27091"/>
      <w:bookmarkStart w:id="3" w:name="_Toc10265"/>
      <w:bookmarkStart w:id="4" w:name="_Toc14563"/>
      <w:r>
        <w:rPr>
          <w:rFonts w:hint="eastAsia" w:ascii="仿宋" w:hAnsi="仿宋" w:eastAsia="仿宋" w:cs="仿宋"/>
          <w:b/>
          <w:bCs/>
          <w:snapToGrid/>
          <w:kern w:val="44"/>
          <w:sz w:val="32"/>
          <w:szCs w:val="44"/>
          <w:lang w:eastAsia="zh-CN"/>
        </w:rPr>
        <w:t>合同主要条款及格式</w:t>
      </w:r>
    </w:p>
    <w:p w14:paraId="5C1E5142">
      <w:pPr>
        <w:widowControl w:val="0"/>
        <w:kinsoku/>
        <w:autoSpaceDE/>
        <w:autoSpaceDN/>
        <w:adjustRightInd/>
        <w:snapToGrid/>
        <w:jc w:val="center"/>
        <w:textAlignment w:val="auto"/>
        <w:rPr>
          <w:rFonts w:hint="eastAsia" w:ascii="仿宋" w:hAnsi="仿宋" w:eastAsia="仿宋" w:cs="仿宋"/>
          <w:b/>
          <w:snapToGrid/>
          <w:kern w:val="2"/>
          <w:sz w:val="30"/>
          <w:szCs w:val="30"/>
          <w:lang w:eastAsia="zh-CN"/>
        </w:rPr>
      </w:pPr>
      <w:r>
        <w:rPr>
          <w:rFonts w:hint="eastAsia" w:ascii="仿宋" w:hAnsi="仿宋" w:eastAsia="仿宋" w:cs="仿宋"/>
          <w:b/>
          <w:snapToGrid/>
          <w:kern w:val="2"/>
          <w:sz w:val="30"/>
          <w:szCs w:val="30"/>
          <w:lang w:eastAsia="zh-CN"/>
        </w:rPr>
        <w:t>（示范文本）</w:t>
      </w:r>
    </w:p>
    <w:p w14:paraId="1EEC30AC">
      <w:pPr>
        <w:widowControl w:val="0"/>
        <w:kinsoku/>
        <w:autoSpaceDE/>
        <w:autoSpaceDN/>
        <w:adjustRightInd/>
        <w:snapToGrid/>
        <w:jc w:val="both"/>
        <w:textAlignment w:val="auto"/>
        <w:rPr>
          <w:rFonts w:hint="eastAsia" w:ascii="仿宋" w:hAnsi="仿宋" w:eastAsia="仿宋" w:cs="仿宋"/>
          <w:snapToGrid/>
          <w:kern w:val="2"/>
          <w:sz w:val="32"/>
          <w:szCs w:val="28"/>
          <w:lang w:eastAsia="zh-CN"/>
        </w:rPr>
      </w:pPr>
      <w:r>
        <w:rPr>
          <w:rFonts w:hint="eastAsia" w:ascii="仿宋" w:hAnsi="仿宋" w:eastAsia="仿宋" w:cs="仿宋"/>
          <w:snapToGrid/>
          <w:kern w:val="2"/>
          <w:sz w:val="32"/>
          <w:szCs w:val="28"/>
          <w:lang w:eastAsia="zh-CN"/>
        </w:rPr>
        <w:t>合同类型：</w:t>
      </w:r>
    </w:p>
    <w:p w14:paraId="374AF764">
      <w:pPr>
        <w:widowControl w:val="0"/>
        <w:kinsoku/>
        <w:autoSpaceDE/>
        <w:autoSpaceDN/>
        <w:adjustRightInd/>
        <w:snapToGrid/>
        <w:jc w:val="both"/>
        <w:textAlignment w:val="auto"/>
        <w:rPr>
          <w:rFonts w:hint="eastAsia" w:ascii="仿宋" w:hAnsi="仿宋" w:eastAsia="仿宋" w:cs="仿宋"/>
          <w:snapToGrid/>
          <w:kern w:val="2"/>
          <w:sz w:val="32"/>
          <w:szCs w:val="28"/>
          <w:lang w:eastAsia="zh-CN"/>
        </w:rPr>
      </w:pPr>
      <w:r>
        <w:rPr>
          <w:rFonts w:hint="eastAsia" w:ascii="仿宋" w:hAnsi="仿宋" w:eastAsia="仿宋" w:cs="仿宋"/>
          <w:snapToGrid/>
          <w:kern w:val="2"/>
          <w:sz w:val="32"/>
          <w:szCs w:val="28"/>
          <w:lang w:eastAsia="zh-CN"/>
        </w:rPr>
        <w:t>合同编号：</w:t>
      </w:r>
    </w:p>
    <w:p w14:paraId="5AFB4412">
      <w:pPr>
        <w:widowControl w:val="0"/>
        <w:kinsoku/>
        <w:autoSpaceDE/>
        <w:autoSpaceDN/>
        <w:adjustRightInd/>
        <w:snapToGrid/>
        <w:jc w:val="both"/>
        <w:textAlignment w:val="auto"/>
        <w:rPr>
          <w:rFonts w:hint="eastAsia" w:ascii="仿宋" w:hAnsi="仿宋" w:eastAsia="仿宋" w:cs="仿宋"/>
          <w:snapToGrid/>
          <w:kern w:val="2"/>
          <w:szCs w:val="20"/>
          <w:lang w:eastAsia="zh-CN"/>
        </w:rPr>
      </w:pPr>
    </w:p>
    <w:p w14:paraId="14DAB09A">
      <w:pPr>
        <w:widowControl w:val="0"/>
        <w:kinsoku/>
        <w:autoSpaceDE/>
        <w:autoSpaceDN/>
        <w:adjustRightInd/>
        <w:snapToGrid/>
        <w:jc w:val="both"/>
        <w:textAlignment w:val="auto"/>
        <w:rPr>
          <w:rFonts w:hint="eastAsia" w:ascii="仿宋" w:hAnsi="仿宋" w:eastAsia="仿宋" w:cs="仿宋"/>
          <w:snapToGrid/>
          <w:kern w:val="2"/>
          <w:szCs w:val="20"/>
          <w:lang w:eastAsia="zh-CN"/>
        </w:rPr>
      </w:pPr>
    </w:p>
    <w:p w14:paraId="4D01158C">
      <w:pPr>
        <w:widowControl w:val="0"/>
        <w:kinsoku/>
        <w:autoSpaceDE/>
        <w:autoSpaceDN/>
        <w:adjustRightInd/>
        <w:snapToGrid/>
        <w:jc w:val="both"/>
        <w:textAlignment w:val="auto"/>
        <w:rPr>
          <w:rFonts w:hint="eastAsia" w:ascii="仿宋" w:hAnsi="仿宋" w:eastAsia="仿宋" w:cs="仿宋"/>
          <w:snapToGrid/>
          <w:kern w:val="2"/>
          <w:szCs w:val="20"/>
          <w:lang w:eastAsia="zh-CN"/>
        </w:rPr>
      </w:pPr>
    </w:p>
    <w:p w14:paraId="02DCDDB1">
      <w:pPr>
        <w:widowControl w:val="0"/>
        <w:kinsoku/>
        <w:autoSpaceDE/>
        <w:autoSpaceDN/>
        <w:adjustRightInd/>
        <w:snapToGrid/>
        <w:jc w:val="both"/>
        <w:textAlignment w:val="auto"/>
        <w:rPr>
          <w:rFonts w:hint="eastAsia" w:ascii="仿宋" w:hAnsi="仿宋" w:eastAsia="仿宋" w:cs="仿宋"/>
          <w:snapToGrid/>
          <w:kern w:val="2"/>
          <w:szCs w:val="20"/>
          <w:lang w:eastAsia="zh-CN"/>
        </w:rPr>
      </w:pPr>
    </w:p>
    <w:p w14:paraId="27F38184">
      <w:pPr>
        <w:widowControl w:val="0"/>
        <w:kinsoku/>
        <w:autoSpaceDE/>
        <w:autoSpaceDN/>
        <w:adjustRightInd/>
        <w:snapToGrid/>
        <w:jc w:val="center"/>
        <w:textAlignment w:val="auto"/>
        <w:rPr>
          <w:rFonts w:hint="eastAsia" w:ascii="仿宋" w:hAnsi="仿宋" w:eastAsia="仿宋" w:cs="仿宋"/>
          <w:snapToGrid/>
          <w:kern w:val="2"/>
          <w:sz w:val="72"/>
          <w:szCs w:val="60"/>
          <w:lang w:eastAsia="zh-CN"/>
        </w:rPr>
      </w:pPr>
      <w:r>
        <w:rPr>
          <w:rFonts w:hint="eastAsia" w:ascii="仿宋" w:hAnsi="仿宋" w:eastAsia="仿宋" w:cs="仿宋"/>
          <w:snapToGrid/>
          <w:kern w:val="2"/>
          <w:sz w:val="72"/>
          <w:szCs w:val="60"/>
          <w:lang w:eastAsia="zh-CN"/>
        </w:rPr>
        <w:t>西安市城市生命线安全</w:t>
      </w:r>
    </w:p>
    <w:p w14:paraId="087CEFBC">
      <w:pPr>
        <w:widowControl w:val="0"/>
        <w:kinsoku/>
        <w:autoSpaceDE/>
        <w:autoSpaceDN/>
        <w:adjustRightInd/>
        <w:snapToGrid/>
        <w:jc w:val="center"/>
        <w:textAlignment w:val="auto"/>
        <w:rPr>
          <w:rFonts w:hint="eastAsia" w:ascii="仿宋" w:hAnsi="仿宋" w:eastAsia="仿宋" w:cs="仿宋"/>
          <w:snapToGrid/>
          <w:kern w:val="2"/>
          <w:sz w:val="72"/>
          <w:szCs w:val="60"/>
          <w:lang w:eastAsia="zh-CN"/>
        </w:rPr>
      </w:pPr>
      <w:r>
        <w:rPr>
          <w:rFonts w:hint="eastAsia" w:ascii="仿宋" w:hAnsi="仿宋" w:eastAsia="仿宋" w:cs="仿宋"/>
          <w:snapToGrid/>
          <w:kern w:val="2"/>
          <w:sz w:val="72"/>
          <w:szCs w:val="60"/>
          <w:lang w:eastAsia="zh-CN"/>
        </w:rPr>
        <w:t>工程综合管廊专项项目</w:t>
      </w:r>
    </w:p>
    <w:p w14:paraId="5E9A9BC5">
      <w:pPr>
        <w:widowControl w:val="0"/>
        <w:kinsoku/>
        <w:autoSpaceDE/>
        <w:autoSpaceDN/>
        <w:adjustRightInd/>
        <w:snapToGrid/>
        <w:ind w:firstLine="2880" w:firstLineChars="400"/>
        <w:jc w:val="both"/>
        <w:textAlignment w:val="auto"/>
        <w:rPr>
          <w:rFonts w:hint="eastAsia" w:ascii="仿宋" w:hAnsi="仿宋" w:eastAsia="仿宋" w:cs="仿宋"/>
          <w:snapToGrid/>
          <w:kern w:val="2"/>
          <w:sz w:val="72"/>
          <w:szCs w:val="60"/>
          <w:lang w:eastAsia="zh-CN"/>
        </w:rPr>
      </w:pPr>
    </w:p>
    <w:p w14:paraId="47E9DE05">
      <w:pPr>
        <w:widowControl w:val="0"/>
        <w:kinsoku/>
        <w:autoSpaceDE/>
        <w:autoSpaceDN/>
        <w:adjustRightInd/>
        <w:snapToGrid/>
        <w:ind w:firstLine="2880" w:firstLineChars="400"/>
        <w:jc w:val="both"/>
        <w:textAlignment w:val="auto"/>
        <w:rPr>
          <w:rFonts w:hint="eastAsia" w:ascii="仿宋" w:hAnsi="仿宋" w:eastAsia="仿宋" w:cs="仿宋"/>
          <w:snapToGrid/>
          <w:kern w:val="2"/>
          <w:sz w:val="72"/>
          <w:szCs w:val="60"/>
          <w:lang w:eastAsia="zh-CN"/>
        </w:rPr>
      </w:pPr>
    </w:p>
    <w:p w14:paraId="26DA6BC2">
      <w:pPr>
        <w:widowControl w:val="0"/>
        <w:kinsoku/>
        <w:autoSpaceDE/>
        <w:autoSpaceDN/>
        <w:adjustRightInd/>
        <w:snapToGrid/>
        <w:ind w:firstLine="2880" w:firstLineChars="400"/>
        <w:jc w:val="both"/>
        <w:textAlignment w:val="auto"/>
        <w:rPr>
          <w:rFonts w:hint="eastAsia" w:ascii="仿宋" w:hAnsi="仿宋" w:eastAsia="仿宋" w:cs="仿宋"/>
          <w:snapToGrid/>
          <w:kern w:val="2"/>
          <w:szCs w:val="20"/>
          <w:lang w:eastAsia="zh-CN"/>
        </w:rPr>
      </w:pPr>
      <w:r>
        <w:rPr>
          <w:rFonts w:hint="eastAsia" w:ascii="仿宋" w:hAnsi="仿宋" w:eastAsia="仿宋" w:cs="仿宋"/>
          <w:snapToGrid/>
          <w:kern w:val="2"/>
          <w:sz w:val="72"/>
          <w:szCs w:val="60"/>
          <w:lang w:eastAsia="zh-CN"/>
        </w:rPr>
        <w:t>合 同 书</w:t>
      </w:r>
    </w:p>
    <w:p w14:paraId="50D27CA5">
      <w:pPr>
        <w:widowControl w:val="0"/>
        <w:kinsoku/>
        <w:autoSpaceDE/>
        <w:autoSpaceDN/>
        <w:adjustRightInd/>
        <w:snapToGrid/>
        <w:jc w:val="both"/>
        <w:textAlignment w:val="auto"/>
        <w:rPr>
          <w:rFonts w:hint="eastAsia" w:ascii="仿宋" w:hAnsi="仿宋" w:eastAsia="仿宋" w:cs="仿宋"/>
          <w:snapToGrid/>
          <w:kern w:val="2"/>
          <w:szCs w:val="20"/>
          <w:lang w:eastAsia="zh-CN"/>
        </w:rPr>
      </w:pPr>
    </w:p>
    <w:p w14:paraId="0C0DC49F">
      <w:pPr>
        <w:widowControl w:val="0"/>
        <w:kinsoku/>
        <w:autoSpaceDE/>
        <w:autoSpaceDN/>
        <w:adjustRightInd/>
        <w:snapToGrid/>
        <w:jc w:val="both"/>
        <w:textAlignment w:val="auto"/>
        <w:rPr>
          <w:rFonts w:hint="eastAsia" w:ascii="仿宋" w:hAnsi="仿宋" w:eastAsia="仿宋" w:cs="仿宋"/>
          <w:snapToGrid/>
          <w:kern w:val="2"/>
          <w:szCs w:val="20"/>
          <w:lang w:eastAsia="zh-CN"/>
        </w:rPr>
      </w:pPr>
    </w:p>
    <w:p w14:paraId="29F22195">
      <w:pPr>
        <w:widowControl w:val="0"/>
        <w:kinsoku/>
        <w:autoSpaceDE/>
        <w:autoSpaceDN/>
        <w:adjustRightInd/>
        <w:snapToGrid/>
        <w:jc w:val="both"/>
        <w:textAlignment w:val="auto"/>
        <w:rPr>
          <w:rFonts w:hint="eastAsia" w:ascii="仿宋" w:hAnsi="仿宋" w:eastAsia="仿宋" w:cs="仿宋"/>
          <w:snapToGrid/>
          <w:kern w:val="2"/>
          <w:szCs w:val="20"/>
          <w:lang w:eastAsia="zh-CN"/>
        </w:rPr>
      </w:pPr>
    </w:p>
    <w:p w14:paraId="496A7CEC">
      <w:pPr>
        <w:widowControl w:val="0"/>
        <w:kinsoku/>
        <w:autoSpaceDE/>
        <w:autoSpaceDN/>
        <w:adjustRightInd/>
        <w:snapToGrid/>
        <w:jc w:val="both"/>
        <w:textAlignment w:val="auto"/>
        <w:rPr>
          <w:rFonts w:hint="eastAsia" w:ascii="仿宋" w:hAnsi="仿宋" w:eastAsia="仿宋" w:cs="仿宋"/>
          <w:snapToGrid/>
          <w:kern w:val="2"/>
          <w:szCs w:val="20"/>
          <w:lang w:eastAsia="zh-CN"/>
        </w:rPr>
      </w:pPr>
    </w:p>
    <w:p w14:paraId="1E1C22AD">
      <w:pPr>
        <w:widowControl w:val="0"/>
        <w:kinsoku/>
        <w:autoSpaceDE/>
        <w:autoSpaceDN/>
        <w:adjustRightInd/>
        <w:snapToGrid/>
        <w:jc w:val="both"/>
        <w:textAlignment w:val="auto"/>
        <w:rPr>
          <w:rFonts w:hint="eastAsia" w:ascii="仿宋" w:hAnsi="仿宋" w:eastAsia="仿宋" w:cs="仿宋"/>
          <w:snapToGrid/>
          <w:kern w:val="2"/>
          <w:szCs w:val="20"/>
          <w:lang w:eastAsia="zh-CN"/>
        </w:rPr>
      </w:pPr>
    </w:p>
    <w:p w14:paraId="5E4CCD32">
      <w:pPr>
        <w:widowControl w:val="0"/>
        <w:kinsoku/>
        <w:autoSpaceDE/>
        <w:autoSpaceDN/>
        <w:adjustRightInd/>
        <w:snapToGrid/>
        <w:jc w:val="both"/>
        <w:textAlignment w:val="auto"/>
        <w:rPr>
          <w:rFonts w:hint="eastAsia" w:ascii="仿宋" w:hAnsi="仿宋" w:eastAsia="仿宋" w:cs="仿宋"/>
          <w:snapToGrid/>
          <w:kern w:val="2"/>
          <w:szCs w:val="20"/>
          <w:lang w:eastAsia="zh-CN"/>
        </w:rPr>
      </w:pPr>
    </w:p>
    <w:p w14:paraId="29D022A1">
      <w:pPr>
        <w:pStyle w:val="12"/>
        <w:ind w:firstLine="480"/>
        <w:rPr>
          <w:rFonts w:hint="eastAsia" w:ascii="仿宋" w:hAnsi="仿宋" w:eastAsia="仿宋" w:cs="仿宋"/>
          <w:color w:val="000000"/>
        </w:rPr>
      </w:pPr>
    </w:p>
    <w:p w14:paraId="4C6E8B39">
      <w:pPr>
        <w:rPr>
          <w:rFonts w:hint="eastAsia" w:ascii="仿宋" w:hAnsi="仿宋" w:eastAsia="仿宋" w:cs="仿宋"/>
          <w:lang w:val="en-US" w:eastAsia="zh-CN"/>
        </w:rPr>
      </w:pPr>
    </w:p>
    <w:p w14:paraId="63658E08">
      <w:pPr>
        <w:rPr>
          <w:rFonts w:hint="eastAsia" w:ascii="仿宋" w:hAnsi="仿宋" w:eastAsia="仿宋" w:cs="仿宋"/>
          <w:lang w:val="en-US" w:eastAsia="zh-CN"/>
        </w:rPr>
      </w:pPr>
    </w:p>
    <w:p w14:paraId="25F42762">
      <w:pPr>
        <w:rPr>
          <w:rFonts w:hint="eastAsia" w:ascii="仿宋" w:hAnsi="仿宋" w:eastAsia="仿宋" w:cs="仿宋"/>
          <w:lang w:val="en-US" w:eastAsia="zh-CN"/>
        </w:rPr>
      </w:pPr>
    </w:p>
    <w:p w14:paraId="5718ECEB">
      <w:pPr>
        <w:pStyle w:val="12"/>
        <w:keepNext w:val="0"/>
        <w:keepLines w:val="0"/>
        <w:pageBreakBefore w:val="0"/>
        <w:widowControl w:val="0"/>
        <w:kinsoku/>
        <w:wordWrap/>
        <w:overflowPunct/>
        <w:topLinePunct w:val="0"/>
        <w:autoSpaceDE/>
        <w:autoSpaceDN/>
        <w:bidi w:val="0"/>
        <w:adjustRightInd/>
        <w:snapToGrid/>
        <w:spacing w:line="480" w:lineRule="auto"/>
        <w:ind w:firstLine="0" w:firstLineChars="0"/>
        <w:textAlignment w:val="auto"/>
        <w:rPr>
          <w:rFonts w:hint="eastAsia" w:ascii="仿宋" w:hAnsi="仿宋" w:eastAsia="仿宋" w:cs="仿宋"/>
          <w:sz w:val="30"/>
          <w:szCs w:val="30"/>
          <w:u w:val="single"/>
          <w:lang w:val="en-US" w:eastAsia="zh-CN"/>
        </w:rPr>
      </w:pPr>
      <w:r>
        <w:rPr>
          <w:rFonts w:hint="eastAsia" w:ascii="仿宋" w:hAnsi="仿宋" w:eastAsia="仿宋" w:cs="仿宋"/>
          <w:sz w:val="30"/>
          <w:szCs w:val="30"/>
          <w:lang w:val="en-US" w:eastAsia="zh-CN"/>
        </w:rPr>
        <w:t>甲方：</w:t>
      </w:r>
      <w:r>
        <w:rPr>
          <w:rFonts w:hint="eastAsia" w:ascii="仿宋" w:hAnsi="仿宋" w:eastAsia="仿宋" w:cs="仿宋"/>
          <w:sz w:val="30"/>
          <w:szCs w:val="30"/>
          <w:u w:val="single"/>
          <w:lang w:val="en-US" w:eastAsia="zh-CN"/>
        </w:rPr>
        <w:t xml:space="preserve">                                                        </w:t>
      </w:r>
    </w:p>
    <w:p w14:paraId="01F3D0D2">
      <w:pPr>
        <w:pStyle w:val="12"/>
        <w:keepNext w:val="0"/>
        <w:keepLines w:val="0"/>
        <w:pageBreakBefore w:val="0"/>
        <w:widowControl w:val="0"/>
        <w:kinsoku/>
        <w:wordWrap/>
        <w:overflowPunct/>
        <w:topLinePunct w:val="0"/>
        <w:autoSpaceDE/>
        <w:autoSpaceDN/>
        <w:bidi w:val="0"/>
        <w:adjustRightInd/>
        <w:snapToGrid/>
        <w:spacing w:line="480" w:lineRule="auto"/>
        <w:ind w:firstLine="0" w:firstLineChars="0"/>
        <w:textAlignment w:val="auto"/>
        <w:rPr>
          <w:rFonts w:hint="eastAsia" w:ascii="仿宋" w:hAnsi="仿宋" w:eastAsia="仿宋" w:cs="仿宋"/>
          <w:sz w:val="30"/>
          <w:szCs w:val="30"/>
          <w:u w:val="single"/>
          <w:lang w:val="en-US" w:eastAsia="zh-CN"/>
        </w:rPr>
      </w:pPr>
      <w:r>
        <w:rPr>
          <w:rFonts w:hint="eastAsia" w:ascii="仿宋" w:hAnsi="仿宋" w:eastAsia="仿宋" w:cs="仿宋"/>
          <w:sz w:val="30"/>
          <w:szCs w:val="30"/>
          <w:lang w:val="en-US" w:eastAsia="zh-CN"/>
        </w:rPr>
        <w:t>乙方：</w:t>
      </w:r>
      <w:r>
        <w:rPr>
          <w:rFonts w:hint="eastAsia" w:ascii="仿宋" w:hAnsi="仿宋" w:eastAsia="仿宋" w:cs="仿宋"/>
          <w:sz w:val="30"/>
          <w:szCs w:val="30"/>
          <w:u w:val="single"/>
          <w:lang w:val="en-US" w:eastAsia="zh-CN"/>
        </w:rPr>
        <w:t xml:space="preserve">                                                        </w:t>
      </w:r>
    </w:p>
    <w:p w14:paraId="5C4C6D17">
      <w:pPr>
        <w:pStyle w:val="12"/>
        <w:keepNext w:val="0"/>
        <w:keepLines w:val="0"/>
        <w:pageBreakBefore w:val="0"/>
        <w:widowControl w:val="0"/>
        <w:kinsoku/>
        <w:wordWrap/>
        <w:overflowPunct/>
        <w:topLinePunct w:val="0"/>
        <w:autoSpaceDE/>
        <w:autoSpaceDN/>
        <w:bidi w:val="0"/>
        <w:adjustRightInd/>
        <w:snapToGrid/>
        <w:spacing w:line="480" w:lineRule="auto"/>
        <w:ind w:firstLine="0" w:firstLineChars="0"/>
        <w:textAlignment w:val="auto"/>
        <w:rPr>
          <w:rFonts w:hint="eastAsia" w:ascii="仿宋" w:hAnsi="仿宋" w:eastAsia="仿宋" w:cs="仿宋"/>
          <w:sz w:val="30"/>
          <w:szCs w:val="30"/>
          <w:u w:val="single"/>
          <w:lang w:val="en-US" w:eastAsia="zh-CN"/>
        </w:rPr>
      </w:pPr>
      <w:r>
        <w:rPr>
          <w:rFonts w:hint="eastAsia" w:ascii="仿宋" w:hAnsi="仿宋" w:eastAsia="仿宋" w:cs="仿宋"/>
          <w:sz w:val="30"/>
          <w:szCs w:val="30"/>
          <w:u w:val="none"/>
          <w:lang w:val="en-US" w:eastAsia="zh-CN"/>
        </w:rPr>
        <w:t>签订日期：</w:t>
      </w:r>
      <w:r>
        <w:rPr>
          <w:rFonts w:hint="eastAsia" w:ascii="仿宋" w:hAnsi="仿宋" w:eastAsia="仿宋" w:cs="仿宋"/>
          <w:sz w:val="30"/>
          <w:szCs w:val="30"/>
          <w:u w:val="single"/>
          <w:lang w:val="en-US" w:eastAsia="zh-CN"/>
        </w:rPr>
        <w:t xml:space="preserve">                                               </w:t>
      </w:r>
    </w:p>
    <w:bookmarkEnd w:id="0"/>
    <w:bookmarkEnd w:id="1"/>
    <w:bookmarkEnd w:id="2"/>
    <w:bookmarkEnd w:id="3"/>
    <w:bookmarkEnd w:id="4"/>
    <w:p w14:paraId="6A6BBF39">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lang w:eastAsia="zh-CN"/>
        </w:rPr>
        <w:sectPr>
          <w:headerReference r:id="rId5" w:type="default"/>
          <w:footerReference r:id="rId6" w:type="default"/>
          <w:pgSz w:w="11906" w:h="16838"/>
          <w:pgMar w:top="1440" w:right="1800" w:bottom="1440" w:left="1800" w:header="851" w:footer="992" w:gutter="0"/>
          <w:pgNumType w:start="1"/>
          <w:cols w:space="720" w:num="1"/>
          <w:docGrid w:type="lines" w:linePitch="312" w:charSpace="0"/>
        </w:sectPr>
      </w:pPr>
    </w:p>
    <w:p w14:paraId="3FB3533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甲方：</w:t>
      </w:r>
      <w:r>
        <w:rPr>
          <w:rFonts w:hint="eastAsia" w:ascii="仿宋" w:hAnsi="仿宋" w:eastAsia="仿宋" w:cs="仿宋"/>
          <w:snapToGrid/>
          <w:kern w:val="2"/>
          <w:sz w:val="28"/>
          <w:szCs w:val="28"/>
          <w:u w:val="single"/>
          <w:lang w:eastAsia="zh-CN"/>
        </w:rPr>
        <w:t xml:space="preserve">西安市住房和城乡建设局      </w:t>
      </w:r>
    </w:p>
    <w:p w14:paraId="61F2147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乙方：</w:t>
      </w:r>
      <w:r>
        <w:rPr>
          <w:rFonts w:hint="eastAsia" w:ascii="仿宋" w:hAnsi="仿宋" w:eastAsia="仿宋" w:cs="仿宋"/>
          <w:snapToGrid/>
          <w:kern w:val="2"/>
          <w:sz w:val="28"/>
          <w:szCs w:val="28"/>
          <w:u w:val="single"/>
          <w:lang w:eastAsia="zh-CN"/>
        </w:rPr>
        <w:t>（</w:t>
      </w:r>
      <w:r>
        <w:rPr>
          <w:rFonts w:hint="eastAsia" w:ascii="仿宋" w:hAnsi="仿宋" w:eastAsia="仿宋" w:cs="仿宋"/>
          <w:snapToGrid/>
          <w:kern w:val="2"/>
          <w:sz w:val="28"/>
          <w:szCs w:val="28"/>
          <w:u w:val="single"/>
          <w:lang w:val="en-US" w:eastAsia="zh-CN"/>
        </w:rPr>
        <w:t>成交</w:t>
      </w:r>
      <w:r>
        <w:rPr>
          <w:rFonts w:hint="eastAsia" w:ascii="仿宋" w:hAnsi="仿宋" w:eastAsia="仿宋" w:cs="仿宋"/>
          <w:snapToGrid/>
          <w:kern w:val="2"/>
          <w:sz w:val="28"/>
          <w:szCs w:val="28"/>
          <w:u w:val="single"/>
          <w:lang w:eastAsia="zh-CN"/>
        </w:rPr>
        <w:t xml:space="preserve">供应商）               </w:t>
      </w:r>
    </w:p>
    <w:p w14:paraId="4085058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根据《中华人民共和国民法典》和其他有关法律、法规，甲乙双方本着平等自愿、诚实守信的原则，经友好协商一致，甲方就</w:t>
      </w:r>
      <w:r>
        <w:rPr>
          <w:rFonts w:hint="eastAsia" w:ascii="仿宋" w:hAnsi="仿宋" w:eastAsia="仿宋" w:cs="仿宋"/>
          <w:snapToGrid/>
          <w:kern w:val="2"/>
          <w:sz w:val="28"/>
          <w:szCs w:val="28"/>
          <w:u w:val="single"/>
          <w:lang w:eastAsia="zh-CN"/>
        </w:rPr>
        <w:t>西安市城市生命线安全工程综合管廊专项项目</w:t>
      </w:r>
      <w:r>
        <w:rPr>
          <w:rFonts w:hint="eastAsia" w:ascii="仿宋" w:hAnsi="仿宋" w:eastAsia="仿宋" w:cs="仿宋"/>
          <w:snapToGrid/>
          <w:kern w:val="2"/>
          <w:sz w:val="28"/>
          <w:szCs w:val="28"/>
          <w:lang w:eastAsia="zh-CN"/>
        </w:rPr>
        <w:t>聘请乙方开展本次技术服务工作，按下述条款签订本合同。</w:t>
      </w:r>
    </w:p>
    <w:p w14:paraId="689ACB18">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 w:hAnsi="仿宋" w:eastAsia="仿宋" w:cs="仿宋"/>
          <w:b/>
          <w:bCs/>
          <w:snapToGrid/>
          <w:kern w:val="2"/>
          <w:sz w:val="28"/>
          <w:szCs w:val="28"/>
          <w:lang w:eastAsia="zh-CN"/>
        </w:rPr>
      </w:pPr>
      <w:r>
        <w:rPr>
          <w:rFonts w:hint="eastAsia" w:ascii="仿宋" w:hAnsi="仿宋" w:eastAsia="仿宋" w:cs="仿宋"/>
          <w:b/>
          <w:bCs/>
          <w:snapToGrid/>
          <w:kern w:val="2"/>
          <w:sz w:val="28"/>
          <w:szCs w:val="28"/>
          <w:lang w:eastAsia="zh-CN"/>
        </w:rPr>
        <w:t>第一条  服务内容</w:t>
      </w:r>
    </w:p>
    <w:p w14:paraId="363B9EF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b w:val="0"/>
          <w:bCs w:val="0"/>
          <w:snapToGrid/>
          <w:kern w:val="2"/>
          <w:sz w:val="28"/>
          <w:szCs w:val="28"/>
          <w:lang w:eastAsia="zh-CN"/>
        </w:rPr>
      </w:pPr>
      <w:r>
        <w:rPr>
          <w:rFonts w:hint="eastAsia" w:ascii="仿宋" w:hAnsi="仿宋" w:eastAsia="仿宋" w:cs="仿宋"/>
          <w:b w:val="0"/>
          <w:bCs w:val="0"/>
          <w:snapToGrid/>
          <w:kern w:val="2"/>
          <w:sz w:val="28"/>
          <w:szCs w:val="28"/>
          <w:lang w:eastAsia="zh-CN"/>
        </w:rPr>
        <w:t>本项目主要内容为：为提升西安市城市生命线风险预防及处置的科学化、信息化、标准化水平，对昆明路综合管廊跨f3地裂缝区段加装自动化结构监测设备，提高城市重大风险防控与突发事件处置能力。</w:t>
      </w:r>
    </w:p>
    <w:p w14:paraId="2E24D69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b w:val="0"/>
          <w:bCs w:val="0"/>
          <w:snapToGrid/>
          <w:kern w:val="2"/>
          <w:sz w:val="28"/>
          <w:szCs w:val="28"/>
          <w:lang w:eastAsia="zh-CN"/>
        </w:rPr>
      </w:pPr>
      <w:r>
        <w:rPr>
          <w:rFonts w:hint="eastAsia" w:ascii="仿宋" w:hAnsi="仿宋" w:eastAsia="仿宋" w:cs="仿宋"/>
          <w:b w:val="0"/>
          <w:bCs w:val="0"/>
          <w:snapToGrid/>
          <w:kern w:val="2"/>
          <w:sz w:val="28"/>
          <w:szCs w:val="28"/>
          <w:lang w:eastAsia="zh-CN"/>
        </w:rPr>
        <w:t>昆明路综合管廊西起西三环，东至西二环，全长3742米。地裂缝与昆明路管廊斜交，地裂缝影响范围138米。对昆明路管廊跨f3地裂缝区段结构变形采用自动化监测方式进行监测。</w:t>
      </w:r>
    </w:p>
    <w:p w14:paraId="009F8F9F">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 w:hAnsi="仿宋" w:eastAsia="仿宋" w:cs="仿宋"/>
          <w:b/>
          <w:bCs/>
          <w:snapToGrid/>
          <w:kern w:val="2"/>
          <w:sz w:val="28"/>
          <w:szCs w:val="28"/>
          <w:lang w:eastAsia="zh-CN"/>
        </w:rPr>
      </w:pPr>
      <w:r>
        <w:rPr>
          <w:rFonts w:hint="eastAsia" w:ascii="仿宋" w:hAnsi="仿宋" w:eastAsia="仿宋" w:cs="仿宋"/>
          <w:b/>
          <w:bCs/>
          <w:snapToGrid/>
          <w:kern w:val="2"/>
          <w:sz w:val="28"/>
          <w:szCs w:val="28"/>
          <w:lang w:eastAsia="zh-CN"/>
        </w:rPr>
        <w:t>第二条  服务期限</w:t>
      </w:r>
    </w:p>
    <w:p w14:paraId="2C83525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val="en-US" w:eastAsia="zh-CN"/>
        </w:rPr>
        <w:t>服务期限：</w:t>
      </w:r>
      <w:r>
        <w:rPr>
          <w:rFonts w:hint="eastAsia" w:ascii="仿宋" w:hAnsi="仿宋" w:eastAsia="仿宋" w:cs="仿宋"/>
          <w:snapToGrid/>
          <w:kern w:val="2"/>
          <w:sz w:val="28"/>
          <w:szCs w:val="28"/>
          <w:u w:val="single"/>
          <w:lang w:val="en-US" w:eastAsia="zh-CN"/>
        </w:rPr>
        <w:t xml:space="preserve">             </w:t>
      </w:r>
      <w:r>
        <w:rPr>
          <w:rFonts w:hint="eastAsia" w:ascii="仿宋" w:hAnsi="仿宋" w:eastAsia="仿宋" w:cs="仿宋"/>
          <w:snapToGrid/>
          <w:kern w:val="2"/>
          <w:sz w:val="28"/>
          <w:szCs w:val="28"/>
          <w:lang w:eastAsia="zh-CN"/>
        </w:rPr>
        <w:t>。</w:t>
      </w:r>
    </w:p>
    <w:p w14:paraId="6CF323D3">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2" w:firstLineChars="200"/>
        <w:jc w:val="both"/>
        <w:textAlignment w:val="auto"/>
        <w:rPr>
          <w:rFonts w:hint="eastAsia" w:ascii="仿宋" w:hAnsi="仿宋" w:eastAsia="仿宋" w:cs="仿宋"/>
          <w:b/>
          <w:bCs/>
          <w:snapToGrid/>
          <w:kern w:val="2"/>
          <w:sz w:val="28"/>
          <w:szCs w:val="28"/>
          <w:lang w:eastAsia="zh-CN"/>
        </w:rPr>
      </w:pPr>
      <w:r>
        <w:rPr>
          <w:rFonts w:hint="eastAsia" w:ascii="仿宋" w:hAnsi="仿宋" w:eastAsia="仿宋" w:cs="仿宋"/>
          <w:b/>
          <w:bCs/>
          <w:snapToGrid/>
          <w:kern w:val="2"/>
          <w:sz w:val="28"/>
          <w:szCs w:val="28"/>
          <w:lang w:eastAsia="zh-CN"/>
        </w:rPr>
        <w:t xml:space="preserve"> 服务费用</w:t>
      </w:r>
    </w:p>
    <w:p w14:paraId="4C744EE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u w:val="single"/>
          <w:lang w:eastAsia="zh-CN"/>
        </w:rPr>
      </w:pPr>
      <w:r>
        <w:rPr>
          <w:rFonts w:hint="eastAsia" w:ascii="仿宋" w:hAnsi="仿宋" w:eastAsia="仿宋" w:cs="仿宋"/>
          <w:snapToGrid/>
          <w:kern w:val="2"/>
          <w:sz w:val="28"/>
          <w:szCs w:val="28"/>
          <w:lang w:eastAsia="zh-CN"/>
        </w:rPr>
        <w:t>本项目服务费共计人民币（大写）</w:t>
      </w:r>
      <w:r>
        <w:rPr>
          <w:rFonts w:hint="eastAsia" w:ascii="仿宋" w:hAnsi="仿宋" w:eastAsia="仿宋" w:cs="仿宋"/>
          <w:snapToGrid/>
          <w:kern w:val="2"/>
          <w:sz w:val="28"/>
          <w:szCs w:val="28"/>
          <w:u w:val="single"/>
          <w:lang w:eastAsia="zh-CN"/>
        </w:rPr>
        <w:t xml:space="preserve">                  。</w:t>
      </w:r>
    </w:p>
    <w:p w14:paraId="106BE64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val="en-US" w:eastAsia="zh-CN"/>
        </w:rPr>
      </w:pPr>
      <w:r>
        <w:rPr>
          <w:rFonts w:hint="eastAsia" w:ascii="仿宋" w:hAnsi="仿宋" w:eastAsia="仿宋" w:cs="仿宋"/>
          <w:snapToGrid/>
          <w:kern w:val="2"/>
          <w:sz w:val="28"/>
          <w:szCs w:val="28"/>
          <w:lang w:eastAsia="zh-CN"/>
        </w:rPr>
        <w:t>该费用</w:t>
      </w:r>
      <w:r>
        <w:rPr>
          <w:rFonts w:hint="eastAsia" w:ascii="仿宋" w:hAnsi="仿宋" w:eastAsia="仿宋" w:cs="仿宋"/>
          <w:snapToGrid/>
          <w:kern w:val="2"/>
          <w:sz w:val="28"/>
          <w:szCs w:val="28"/>
          <w:lang w:val="en-US" w:eastAsia="zh-CN"/>
        </w:rPr>
        <w:t>是乙方响应磋商项目要求的全部工作内容的价格体现，包括乙方完成本项目所需的一切费用。</w:t>
      </w:r>
    </w:p>
    <w:p w14:paraId="08CF8884">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 w:hAnsi="仿宋" w:eastAsia="仿宋" w:cs="仿宋"/>
          <w:b/>
          <w:bCs/>
          <w:snapToGrid/>
          <w:color w:val="auto"/>
          <w:kern w:val="2"/>
          <w:sz w:val="28"/>
          <w:szCs w:val="28"/>
          <w:lang w:eastAsia="zh-CN"/>
        </w:rPr>
      </w:pPr>
      <w:r>
        <w:rPr>
          <w:rFonts w:hint="eastAsia" w:ascii="仿宋" w:hAnsi="仿宋" w:eastAsia="仿宋" w:cs="仿宋"/>
          <w:b/>
          <w:bCs/>
          <w:snapToGrid/>
          <w:color w:val="auto"/>
          <w:kern w:val="2"/>
          <w:sz w:val="28"/>
          <w:szCs w:val="28"/>
          <w:lang w:eastAsia="zh-CN"/>
        </w:rPr>
        <w:t>第四条  费用支付</w:t>
      </w:r>
    </w:p>
    <w:p w14:paraId="740EB22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（一）付款节点和比例</w:t>
      </w:r>
    </w:p>
    <w:p w14:paraId="2719D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val="en-US" w:eastAsia="zh-CN"/>
        </w:rPr>
        <w:t>合同签订后，供应商向采购人开具10%的履约保函（保函有效期覆盖项目整个履约及运维期），技术监测方案通过专家评审后</w:t>
      </w:r>
      <w:r>
        <w:rPr>
          <w:rFonts w:hint="eastAsia" w:ascii="仿宋" w:hAnsi="仿宋" w:eastAsia="仿宋" w:cs="仿宋"/>
          <w:snapToGrid/>
          <w:kern w:val="2"/>
          <w:sz w:val="28"/>
          <w:szCs w:val="28"/>
          <w:lang w:eastAsia="zh-CN"/>
        </w:rPr>
        <w:t>，达到付款条件起 30 日内，支付合同总金额的 40.00%。</w:t>
      </w:r>
    </w:p>
    <w:p w14:paraId="3E85702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项目安装测试完成，验收合格后，达到付款条件起 30 日内，支付合同总金额的</w:t>
      </w:r>
      <w:r>
        <w:rPr>
          <w:rFonts w:hint="eastAsia" w:ascii="仿宋" w:hAnsi="仿宋" w:eastAsia="仿宋" w:cs="仿宋"/>
          <w:snapToGrid/>
          <w:kern w:val="2"/>
          <w:sz w:val="28"/>
          <w:szCs w:val="28"/>
          <w:lang w:val="en-US" w:eastAsia="zh-CN"/>
        </w:rPr>
        <w:t>6</w:t>
      </w:r>
      <w:r>
        <w:rPr>
          <w:rFonts w:hint="eastAsia" w:ascii="仿宋" w:hAnsi="仿宋" w:eastAsia="仿宋" w:cs="仿宋"/>
          <w:snapToGrid/>
          <w:kern w:val="2"/>
          <w:sz w:val="28"/>
          <w:szCs w:val="28"/>
          <w:lang w:eastAsia="zh-CN"/>
        </w:rPr>
        <w:t>0.00%。</w:t>
      </w:r>
    </w:p>
    <w:p w14:paraId="5C06F83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（二）甲方每次付款前，乙方须提供甲方财</w:t>
      </w:r>
      <w:bookmarkStart w:id="6" w:name="_GoBack"/>
      <w:bookmarkEnd w:id="6"/>
      <w:r>
        <w:rPr>
          <w:rFonts w:hint="eastAsia" w:ascii="仿宋" w:hAnsi="仿宋" w:eastAsia="仿宋" w:cs="仿宋"/>
          <w:snapToGrid/>
          <w:kern w:val="2"/>
          <w:sz w:val="28"/>
          <w:szCs w:val="28"/>
          <w:lang w:eastAsia="zh-CN"/>
        </w:rPr>
        <w:t>务认可的等额税务发票，否则，甲方有权拒绝付款且不承担任何责任。</w:t>
      </w:r>
    </w:p>
    <w:p w14:paraId="63AC873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（三）支付方式：银行转账。</w:t>
      </w:r>
    </w:p>
    <w:p w14:paraId="06B5172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 w:hAnsi="仿宋" w:eastAsia="仿宋" w:cs="仿宋"/>
          <w:b/>
          <w:bCs/>
          <w:snapToGrid/>
          <w:kern w:val="2"/>
          <w:sz w:val="28"/>
          <w:szCs w:val="28"/>
          <w:lang w:eastAsia="zh-CN"/>
        </w:rPr>
      </w:pPr>
      <w:r>
        <w:rPr>
          <w:rFonts w:hint="eastAsia" w:ascii="仿宋" w:hAnsi="仿宋" w:eastAsia="仿宋" w:cs="仿宋"/>
          <w:b/>
          <w:bCs/>
          <w:snapToGrid/>
          <w:kern w:val="2"/>
          <w:sz w:val="28"/>
          <w:szCs w:val="28"/>
          <w:lang w:eastAsia="zh-CN"/>
        </w:rPr>
        <w:t>第五条  服务团队</w:t>
      </w:r>
    </w:p>
    <w:p w14:paraId="226E74B7">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为提供优质的咨询服务，乙方指派</w:t>
      </w:r>
      <w:r>
        <w:rPr>
          <w:rFonts w:hint="eastAsia" w:ascii="仿宋" w:hAnsi="仿宋" w:eastAsia="仿宋" w:cs="仿宋"/>
          <w:snapToGrid/>
          <w:kern w:val="2"/>
          <w:sz w:val="28"/>
          <w:szCs w:val="28"/>
          <w:u w:val="single"/>
          <w:lang w:eastAsia="zh-CN"/>
        </w:rPr>
        <w:t xml:space="preserve">       </w:t>
      </w:r>
      <w:r>
        <w:rPr>
          <w:rFonts w:hint="eastAsia" w:ascii="仿宋" w:hAnsi="仿宋" w:eastAsia="仿宋" w:cs="仿宋"/>
          <w:snapToGrid/>
          <w:kern w:val="2"/>
          <w:sz w:val="28"/>
          <w:szCs w:val="28"/>
          <w:lang w:eastAsia="zh-CN"/>
        </w:rPr>
        <w:t>为项目负责人，抽组具备资质的技术、服务等专业人员，成立技术服务团队（详见附件），报甲方审查备案，未经甲方同意不得擅自调整。</w:t>
      </w:r>
    </w:p>
    <w:p w14:paraId="40F93695">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 w:hAnsi="仿宋" w:eastAsia="仿宋" w:cs="仿宋"/>
          <w:b/>
          <w:bCs/>
          <w:snapToGrid/>
          <w:kern w:val="2"/>
          <w:sz w:val="28"/>
          <w:szCs w:val="28"/>
          <w:lang w:val="en-US" w:eastAsia="zh-CN"/>
        </w:rPr>
      </w:pPr>
      <w:r>
        <w:rPr>
          <w:rFonts w:hint="eastAsia" w:ascii="仿宋" w:hAnsi="仿宋" w:eastAsia="仿宋" w:cs="仿宋"/>
          <w:b/>
          <w:bCs/>
          <w:snapToGrid/>
          <w:kern w:val="2"/>
          <w:sz w:val="28"/>
          <w:szCs w:val="28"/>
          <w:lang w:eastAsia="zh-CN"/>
        </w:rPr>
        <w:t xml:space="preserve">第六条  </w:t>
      </w:r>
      <w:r>
        <w:rPr>
          <w:rFonts w:hint="eastAsia" w:ascii="仿宋" w:hAnsi="仿宋" w:eastAsia="仿宋" w:cs="仿宋"/>
          <w:b/>
          <w:bCs/>
          <w:snapToGrid/>
          <w:kern w:val="2"/>
          <w:sz w:val="28"/>
          <w:szCs w:val="28"/>
          <w:lang w:val="en-US" w:eastAsia="zh-CN"/>
        </w:rPr>
        <w:t>服务要求及标准</w:t>
      </w:r>
    </w:p>
    <w:p w14:paraId="04DF38A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一）服务要求：能够根据《西安市城市生命线综合管廊风险评估报告》中对昆明路综合管廊跨f3地裂缝区段结构监测需求制定监测方案，监测方案满足国家、地方、行业技术规范，监测数据能够及时上传信息化管理平台并完成数据统计分析及监测结果评价，监测结果能够对昆明路合管廊跨f3地裂缝区段的安全运营有指导作用。若遇突发状况，应及时向采购方预警，并出具报告。</w:t>
      </w:r>
    </w:p>
    <w:p w14:paraId="7485E6B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w:t>
      </w:r>
      <w:r>
        <w:rPr>
          <w:rFonts w:hint="eastAsia" w:ascii="仿宋" w:hAnsi="仿宋" w:eastAsia="仿宋" w:cs="仿宋"/>
          <w:snapToGrid/>
          <w:kern w:val="2"/>
          <w:sz w:val="28"/>
          <w:szCs w:val="28"/>
          <w:lang w:val="en-US" w:eastAsia="zh-CN"/>
        </w:rPr>
        <w:t>二</w:t>
      </w:r>
      <w:r>
        <w:rPr>
          <w:rFonts w:hint="eastAsia" w:ascii="仿宋" w:hAnsi="仿宋" w:eastAsia="仿宋" w:cs="仿宋"/>
          <w:snapToGrid/>
          <w:kern w:val="2"/>
          <w:sz w:val="28"/>
          <w:szCs w:val="28"/>
          <w:lang w:eastAsia="zh-CN"/>
        </w:rPr>
        <w:t>）服务标准：需满足下列国家、地方及行业相关合格标准，并符合采购人提出的具体要求。</w:t>
      </w:r>
    </w:p>
    <w:p w14:paraId="4C19D58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《城市地下综合管廊运行维护及安全技术标准》GB 51345-2019；</w:t>
      </w:r>
    </w:p>
    <w:p w14:paraId="7E94CCC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《城镇综合管廊监控与报警系统工程技术标准》GB/T 51274；</w:t>
      </w:r>
    </w:p>
    <w:p w14:paraId="443F991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《工程测量标准》GB 50026-2020；</w:t>
      </w:r>
    </w:p>
    <w:p w14:paraId="00E86E6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《建筑变形测量规范》JGJ 8-2016；</w:t>
      </w:r>
    </w:p>
    <w:p w14:paraId="671133E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《陕西省城镇综合管廊运行管理与维护技术规程DBJ61/T165-2020；</w:t>
      </w:r>
    </w:p>
    <w:p w14:paraId="3727FBF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《城市综合管廊工程监测技术规程》T/CCIAT0034-2021；</w:t>
      </w:r>
    </w:p>
    <w:p w14:paraId="435310D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《综合管廊物联网系统技术规范》T/CAS 773-2023；</w:t>
      </w:r>
    </w:p>
    <w:p w14:paraId="0C3B57D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《城市综合管廊智慧化管理技术标准》T/CMEA 39-2023。</w:t>
      </w:r>
    </w:p>
    <w:p w14:paraId="60C9F046">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 w:hAnsi="仿宋" w:eastAsia="仿宋" w:cs="仿宋"/>
          <w:b/>
          <w:snapToGrid/>
          <w:kern w:val="2"/>
          <w:sz w:val="28"/>
          <w:szCs w:val="28"/>
          <w:lang w:eastAsia="zh-CN"/>
        </w:rPr>
      </w:pPr>
      <w:r>
        <w:rPr>
          <w:rFonts w:hint="eastAsia" w:ascii="仿宋" w:hAnsi="仿宋" w:eastAsia="仿宋" w:cs="仿宋"/>
          <w:b/>
          <w:snapToGrid/>
          <w:kern w:val="2"/>
          <w:sz w:val="28"/>
          <w:szCs w:val="28"/>
          <w:lang w:eastAsia="zh-CN"/>
        </w:rPr>
        <w:t>第七条  甲乙双方的权利和义务</w:t>
      </w:r>
    </w:p>
    <w:p w14:paraId="75ED5E0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（一）甲方的权利和义务</w:t>
      </w:r>
    </w:p>
    <w:p w14:paraId="26E4164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1</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甲方有权对乙方的技术服务进行监督检查，有权向乙方询问工作进展情况及相关工作内容，有权阐述对具体问题的意见和建议；</w:t>
      </w:r>
    </w:p>
    <w:p w14:paraId="45F2B0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2</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甲方对乙方提供的服务建议或报告成果有审议、修改及最终决策的权利；</w:t>
      </w:r>
    </w:p>
    <w:p w14:paraId="3E2AD7F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3</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服务期内，若乙方服务人员不正确或不认真履行服务责任，甲方有权要求乙方更换服务人员，乙方应当在甲方规定的时间内及时更换与合同约定的资历匹配一致的人员；</w:t>
      </w:r>
    </w:p>
    <w:p w14:paraId="3C0257D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4</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配合乙方工作，协助乙方对接区县部门、管廊项目公司等单位，向乙方提供相关基础资料，并保证所提供资料真实、合法、有效；</w:t>
      </w:r>
    </w:p>
    <w:p w14:paraId="5833627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5</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配合乙方现场访谈、考察调研等事宜，并提供相关工作便利；</w:t>
      </w:r>
    </w:p>
    <w:p w14:paraId="511BEA4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6</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在乙方无任何违约的情况下，依据本合同规定，及时足额向乙方支付服务费用；</w:t>
      </w:r>
    </w:p>
    <w:p w14:paraId="65E30A32">
      <w:pPr>
        <w:keepNext w:val="0"/>
        <w:keepLines w:val="0"/>
        <w:pageBreakBefore w:val="0"/>
        <w:widowControl w:val="0"/>
        <w:kinsoku/>
        <w:wordWrap/>
        <w:overflowPunct/>
        <w:topLinePunct w:val="0"/>
        <w:autoSpaceDE/>
        <w:autoSpaceDN/>
        <w:bidi w:val="0"/>
        <w:adjustRightInd/>
        <w:snapToGrid/>
        <w:spacing w:line="560" w:lineRule="exact"/>
        <w:ind w:left="596" w:leftChars="284"/>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7</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国家法律、法规所规定应由甲方承担的其他责任。</w:t>
      </w:r>
    </w:p>
    <w:p w14:paraId="13E91B4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（二）乙方的权利和义务</w:t>
      </w:r>
    </w:p>
    <w:p w14:paraId="2C82E8E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1</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乙方在提供服务过程中，有权要求甲方提供所需的项目资料，乙方对甲方提交的资料在3日内未提出异议的，视为甲方提交的资料符合项目要求；</w:t>
      </w:r>
    </w:p>
    <w:p w14:paraId="272DB1D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2</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 xml:space="preserve">乙方在提供服务过程中有到现场访谈、考察调研的权利；  </w:t>
      </w:r>
    </w:p>
    <w:p w14:paraId="657FE9D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3</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依据本合同约定，向甲方收取服务费用；</w:t>
      </w:r>
    </w:p>
    <w:p w14:paraId="6B3497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4</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乙方应遵守其做出的服务承诺，遵循诚实、勤勉、尽职的原则，为甲方提供技术服务，</w:t>
      </w:r>
      <w:r>
        <w:rPr>
          <w:rFonts w:hint="eastAsia" w:ascii="仿宋" w:hAnsi="仿宋" w:eastAsia="仿宋" w:cs="仿宋"/>
          <w:snapToGrid/>
          <w:kern w:val="2"/>
          <w:sz w:val="28"/>
          <w:szCs w:val="28"/>
          <w:lang w:val="zh-TW" w:eastAsia="zh-CN"/>
        </w:rPr>
        <w:t>对</w:t>
      </w:r>
      <w:r>
        <w:rPr>
          <w:rFonts w:hint="eastAsia" w:ascii="仿宋" w:hAnsi="仿宋" w:eastAsia="仿宋" w:cs="仿宋"/>
          <w:snapToGrid/>
          <w:kern w:val="2"/>
          <w:sz w:val="28"/>
          <w:szCs w:val="28"/>
          <w:lang w:eastAsia="zh-CN"/>
        </w:rPr>
        <w:t>工作</w:t>
      </w:r>
      <w:r>
        <w:rPr>
          <w:rFonts w:hint="eastAsia" w:ascii="仿宋" w:hAnsi="仿宋" w:eastAsia="仿宋" w:cs="仿宋"/>
          <w:snapToGrid/>
          <w:kern w:val="2"/>
          <w:sz w:val="28"/>
          <w:szCs w:val="28"/>
          <w:lang w:val="zh-TW" w:eastAsia="zh-CN"/>
        </w:rPr>
        <w:t>成果的真实性和质量负责</w:t>
      </w:r>
      <w:r>
        <w:rPr>
          <w:rFonts w:hint="eastAsia" w:ascii="仿宋" w:hAnsi="仿宋" w:eastAsia="仿宋" w:cs="仿宋"/>
          <w:snapToGrid/>
          <w:kern w:val="2"/>
          <w:sz w:val="28"/>
          <w:szCs w:val="28"/>
          <w:lang w:eastAsia="zh-CN"/>
        </w:rPr>
        <w:t>；</w:t>
      </w:r>
    </w:p>
    <w:p w14:paraId="712E327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5</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乙方服务形式不仅限于书面的风险清单、评估报告等，也可根据甲方需求提供现场咨询等服务；</w:t>
      </w:r>
    </w:p>
    <w:p w14:paraId="7DB1D89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6</w:t>
      </w:r>
      <w:bookmarkStart w:id="5" w:name="_Hlk60657896"/>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乙方应编制风险评估工作计划和方案，报甲方审查备案，主动接受甲方的监督，根据甲方要求，及时向甲方汇报工作</w:t>
      </w:r>
      <w:bookmarkEnd w:id="5"/>
      <w:r>
        <w:rPr>
          <w:rFonts w:hint="eastAsia" w:ascii="仿宋" w:hAnsi="仿宋" w:eastAsia="仿宋" w:cs="仿宋"/>
          <w:snapToGrid/>
          <w:kern w:val="2"/>
          <w:sz w:val="28"/>
          <w:szCs w:val="28"/>
          <w:lang w:eastAsia="zh-CN"/>
        </w:rPr>
        <w:t>进展；</w:t>
      </w:r>
    </w:p>
    <w:p w14:paraId="1F391A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7</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乙方应保证服务团队人员为本项目服务的工作时间，督促团队人员正确、认真履行责任，及时高效地提供工作服务；</w:t>
      </w:r>
    </w:p>
    <w:p w14:paraId="10AA327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val="zh-TW" w:eastAsia="zh-CN"/>
        </w:rPr>
      </w:pPr>
      <w:r>
        <w:rPr>
          <w:rFonts w:hint="eastAsia" w:ascii="仿宋" w:hAnsi="仿宋" w:eastAsia="仿宋" w:cs="仿宋"/>
          <w:snapToGrid/>
          <w:kern w:val="2"/>
          <w:sz w:val="28"/>
          <w:szCs w:val="28"/>
          <w:lang w:eastAsia="zh-CN"/>
        </w:rPr>
        <w:t>8</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val="zh-TW" w:eastAsia="zh-CN"/>
        </w:rPr>
        <w:t>乙方所提供的服务或其</w:t>
      </w:r>
      <w:r>
        <w:rPr>
          <w:rFonts w:hint="eastAsia" w:ascii="仿宋" w:hAnsi="仿宋" w:eastAsia="仿宋" w:cs="仿宋"/>
          <w:snapToGrid/>
          <w:kern w:val="2"/>
          <w:sz w:val="28"/>
          <w:szCs w:val="28"/>
          <w:lang w:eastAsia="zh-CN"/>
        </w:rPr>
        <w:t>中</w:t>
      </w:r>
      <w:r>
        <w:rPr>
          <w:rFonts w:hint="eastAsia" w:ascii="仿宋" w:hAnsi="仿宋" w:eastAsia="仿宋" w:cs="仿宋"/>
          <w:snapToGrid/>
          <w:kern w:val="2"/>
          <w:sz w:val="28"/>
          <w:szCs w:val="28"/>
          <w:lang w:val="zh-TW" w:eastAsia="zh-CN"/>
        </w:rPr>
        <w:t>任何一部分，均不</w:t>
      </w:r>
      <w:r>
        <w:rPr>
          <w:rFonts w:hint="eastAsia" w:ascii="仿宋" w:hAnsi="仿宋" w:eastAsia="仿宋" w:cs="仿宋"/>
          <w:snapToGrid/>
          <w:kern w:val="2"/>
          <w:sz w:val="28"/>
          <w:szCs w:val="28"/>
          <w:lang w:eastAsia="zh-CN"/>
        </w:rPr>
        <w:t>得</w:t>
      </w:r>
      <w:r>
        <w:rPr>
          <w:rFonts w:hint="eastAsia" w:ascii="仿宋" w:hAnsi="仿宋" w:eastAsia="仿宋" w:cs="仿宋"/>
          <w:snapToGrid/>
          <w:kern w:val="2"/>
          <w:sz w:val="28"/>
          <w:szCs w:val="28"/>
          <w:lang w:val="zh-TW" w:eastAsia="zh-CN"/>
        </w:rPr>
        <w:t>侵犯任何第三方专利权、商标权或著作权</w:t>
      </w:r>
      <w:r>
        <w:rPr>
          <w:rFonts w:hint="eastAsia" w:ascii="仿宋" w:hAnsi="仿宋" w:eastAsia="仿宋" w:cs="仿宋"/>
          <w:snapToGrid/>
          <w:kern w:val="2"/>
          <w:sz w:val="28"/>
          <w:szCs w:val="28"/>
          <w:lang w:eastAsia="zh-CN"/>
        </w:rPr>
        <w:t>等知识产权</w:t>
      </w:r>
      <w:r>
        <w:rPr>
          <w:rFonts w:hint="eastAsia" w:ascii="仿宋" w:hAnsi="仿宋" w:eastAsia="仿宋" w:cs="仿宋"/>
          <w:snapToGrid/>
          <w:kern w:val="2"/>
          <w:sz w:val="28"/>
          <w:szCs w:val="28"/>
          <w:lang w:val="zh-TW" w:eastAsia="zh-CN"/>
        </w:rPr>
        <w:t>，</w:t>
      </w:r>
      <w:r>
        <w:rPr>
          <w:rFonts w:hint="eastAsia" w:ascii="仿宋" w:hAnsi="仿宋" w:eastAsia="仿宋" w:cs="仿宋"/>
          <w:snapToGrid/>
          <w:kern w:val="2"/>
          <w:sz w:val="28"/>
          <w:szCs w:val="28"/>
          <w:lang w:eastAsia="zh-CN"/>
        </w:rPr>
        <w:t>并承担与此相关的一切责任</w:t>
      </w:r>
      <w:r>
        <w:rPr>
          <w:rFonts w:hint="eastAsia" w:ascii="仿宋" w:hAnsi="仿宋" w:eastAsia="仿宋" w:cs="仿宋"/>
          <w:snapToGrid/>
          <w:kern w:val="2"/>
          <w:sz w:val="28"/>
          <w:szCs w:val="28"/>
          <w:lang w:val="zh-TW" w:eastAsia="zh-CN"/>
        </w:rPr>
        <w:t>；</w:t>
      </w:r>
    </w:p>
    <w:p w14:paraId="2BF184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9</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val="zh-TW" w:eastAsia="zh-CN"/>
        </w:rPr>
        <w:t>乙方应要求本单位</w:t>
      </w:r>
      <w:r>
        <w:rPr>
          <w:rFonts w:hint="eastAsia" w:ascii="仿宋" w:hAnsi="仿宋" w:eastAsia="仿宋" w:cs="仿宋"/>
          <w:snapToGrid/>
          <w:kern w:val="2"/>
          <w:sz w:val="28"/>
          <w:szCs w:val="28"/>
          <w:lang w:eastAsia="zh-CN"/>
        </w:rPr>
        <w:t>工作</w:t>
      </w:r>
      <w:r>
        <w:rPr>
          <w:rFonts w:hint="eastAsia" w:ascii="仿宋" w:hAnsi="仿宋" w:eastAsia="仿宋" w:cs="仿宋"/>
          <w:snapToGrid/>
          <w:kern w:val="2"/>
          <w:sz w:val="28"/>
          <w:szCs w:val="28"/>
          <w:lang w:val="zh-TW" w:eastAsia="zh-CN"/>
        </w:rPr>
        <w:t>人员在执行</w:t>
      </w:r>
      <w:r>
        <w:rPr>
          <w:rFonts w:hint="eastAsia" w:ascii="仿宋" w:hAnsi="仿宋" w:eastAsia="仿宋" w:cs="仿宋"/>
          <w:snapToGrid/>
          <w:kern w:val="2"/>
          <w:sz w:val="28"/>
          <w:szCs w:val="28"/>
          <w:lang w:eastAsia="zh-CN"/>
        </w:rPr>
        <w:t>风险评估</w:t>
      </w:r>
      <w:r>
        <w:rPr>
          <w:rFonts w:hint="eastAsia" w:ascii="仿宋" w:hAnsi="仿宋" w:eastAsia="仿宋" w:cs="仿宋"/>
          <w:snapToGrid/>
          <w:kern w:val="2"/>
          <w:sz w:val="28"/>
          <w:szCs w:val="28"/>
          <w:lang w:val="zh-TW" w:eastAsia="zh-CN"/>
        </w:rPr>
        <w:t>任务时，准确运用国家相关法律</w:t>
      </w:r>
      <w:r>
        <w:rPr>
          <w:rFonts w:hint="eastAsia" w:ascii="仿宋" w:hAnsi="仿宋" w:eastAsia="仿宋" w:cs="仿宋"/>
          <w:snapToGrid/>
          <w:kern w:val="2"/>
          <w:sz w:val="28"/>
          <w:szCs w:val="28"/>
          <w:lang w:eastAsia="zh-CN"/>
        </w:rPr>
        <w:t>、法规和政策及相关专业知识、技能和经验开展相关业务，保持应有的职业谨慎，恪守客观公正、合规合法、实事求是、廉洁奉公的原则。按既定的工作方案，按时高质量的完成技术服务工作，提交符合规范要求的风险评估报告；对评估结果的真实性、准确性、完整性、合法性、合理性负责，维护各方面合法权益，实现工作目标。</w:t>
      </w:r>
    </w:p>
    <w:p w14:paraId="1FF3FE8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10</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val="zh-TW" w:eastAsia="zh-CN"/>
        </w:rPr>
        <w:t>乙方接受甲方的指导监督，</w:t>
      </w:r>
      <w:r>
        <w:rPr>
          <w:rFonts w:hint="eastAsia" w:ascii="仿宋" w:hAnsi="仿宋" w:eastAsia="仿宋" w:cs="仿宋"/>
          <w:snapToGrid/>
          <w:kern w:val="2"/>
          <w:sz w:val="28"/>
          <w:szCs w:val="28"/>
          <w:lang w:eastAsia="zh-CN"/>
        </w:rPr>
        <w:t>技术</w:t>
      </w:r>
      <w:r>
        <w:rPr>
          <w:rFonts w:hint="eastAsia" w:ascii="仿宋" w:hAnsi="仿宋" w:eastAsia="仿宋" w:cs="仿宋"/>
          <w:snapToGrid/>
          <w:kern w:val="2"/>
          <w:sz w:val="28"/>
          <w:szCs w:val="28"/>
          <w:lang w:val="zh-TW" w:eastAsia="zh-CN"/>
        </w:rPr>
        <w:t>人</w:t>
      </w:r>
      <w:r>
        <w:rPr>
          <w:rFonts w:hint="eastAsia" w:ascii="仿宋" w:hAnsi="仿宋" w:eastAsia="仿宋" w:cs="仿宋"/>
          <w:snapToGrid/>
          <w:kern w:val="2"/>
          <w:sz w:val="28"/>
          <w:szCs w:val="28"/>
          <w:lang w:eastAsia="zh-CN"/>
        </w:rPr>
        <w:t>员</w:t>
      </w:r>
      <w:r>
        <w:rPr>
          <w:rFonts w:hint="eastAsia" w:ascii="仿宋" w:hAnsi="仿宋" w:eastAsia="仿宋" w:cs="仿宋"/>
          <w:snapToGrid/>
          <w:kern w:val="2"/>
          <w:sz w:val="28"/>
          <w:szCs w:val="28"/>
          <w:lang w:val="zh-TW" w:eastAsia="zh-CN"/>
        </w:rPr>
        <w:t>直接接受并服从甲方的指令，按规定及时向甲方反馈项目的</w:t>
      </w:r>
      <w:r>
        <w:rPr>
          <w:rFonts w:hint="eastAsia" w:ascii="仿宋" w:hAnsi="仿宋" w:eastAsia="仿宋" w:cs="仿宋"/>
          <w:snapToGrid/>
          <w:kern w:val="2"/>
          <w:sz w:val="28"/>
          <w:szCs w:val="28"/>
          <w:lang w:eastAsia="zh-CN"/>
        </w:rPr>
        <w:t>评估</w:t>
      </w:r>
      <w:r>
        <w:rPr>
          <w:rFonts w:hint="eastAsia" w:ascii="仿宋" w:hAnsi="仿宋" w:eastAsia="仿宋" w:cs="仿宋"/>
          <w:snapToGrid/>
          <w:kern w:val="2"/>
          <w:sz w:val="28"/>
          <w:szCs w:val="28"/>
          <w:lang w:val="zh-TW" w:eastAsia="zh-CN"/>
        </w:rPr>
        <w:t>情况。</w:t>
      </w:r>
    </w:p>
    <w:p w14:paraId="0009CFA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 w:hAnsi="仿宋" w:eastAsia="仿宋" w:cs="仿宋"/>
          <w:b/>
          <w:bCs/>
          <w:snapToGrid/>
          <w:kern w:val="2"/>
          <w:sz w:val="28"/>
          <w:szCs w:val="28"/>
          <w:highlight w:val="none"/>
          <w:lang w:eastAsia="zh-CN"/>
        </w:rPr>
      </w:pPr>
      <w:r>
        <w:rPr>
          <w:rFonts w:hint="eastAsia" w:ascii="仿宋" w:hAnsi="仿宋" w:eastAsia="仿宋" w:cs="仿宋"/>
          <w:b/>
          <w:snapToGrid/>
          <w:kern w:val="2"/>
          <w:sz w:val="28"/>
          <w:szCs w:val="28"/>
          <w:highlight w:val="none"/>
          <w:lang w:eastAsia="zh-CN"/>
        </w:rPr>
        <w:t>第八条</w:t>
      </w:r>
      <w:r>
        <w:rPr>
          <w:rFonts w:hint="eastAsia" w:ascii="仿宋" w:hAnsi="仿宋" w:eastAsia="仿宋" w:cs="仿宋"/>
          <w:b/>
          <w:bCs/>
          <w:snapToGrid/>
          <w:kern w:val="2"/>
          <w:sz w:val="28"/>
          <w:szCs w:val="28"/>
          <w:highlight w:val="none"/>
          <w:lang w:eastAsia="zh-CN"/>
        </w:rPr>
        <w:t xml:space="preserve">  违约责任</w:t>
      </w:r>
    </w:p>
    <w:p w14:paraId="27102F8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（一）甲方的违约责任</w:t>
      </w:r>
    </w:p>
    <w:p w14:paraId="29039BB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1</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甲方违反约定，不能按时提供基础资料、工作条件或提供基础资料不准确，导致乙方无法按期完成并提交工作成果的，乙方有权按延误的时间予以顺延。</w:t>
      </w:r>
    </w:p>
    <w:p w14:paraId="74EC175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2</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甲方因故要求中途终止合同时，应及时书面通知乙方，乙方不退还甲方已支付的费用。在上一次付款节点后，乙方又开展的工作，甲方应按乙方实际完成的工作量支付相应的费用。</w:t>
      </w:r>
    </w:p>
    <w:p w14:paraId="56414C2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（二）乙方的违约责任</w:t>
      </w:r>
    </w:p>
    <w:p w14:paraId="708B1D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1</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乙方未按双方约定日期提交工作成果时，乙方从约定提交日期的次日起计算，每延误一天，按本次付款节点应收金额的2%，作为违约金赔偿甲方，违约金最高不超过本次应付款金额。</w:t>
      </w:r>
    </w:p>
    <w:p w14:paraId="71D679C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2</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乙方故意或重大过失，提供错误或不合格信息而导致甲方损失的，乙方有责任采取补救措施，并按实际情况赔偿甲方因此而造成的损失，同时，按本合同金额的10%，作为违约金赔偿甲方。</w:t>
      </w:r>
    </w:p>
    <w:p w14:paraId="423C832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3</w:t>
      </w:r>
      <w:r>
        <w:rPr>
          <w:rFonts w:hint="eastAsia" w:ascii="仿宋" w:hAnsi="仿宋" w:eastAsia="仿宋" w:cs="仿宋"/>
          <w:snapToGrid/>
          <w:kern w:val="2"/>
          <w:sz w:val="28"/>
          <w:szCs w:val="28"/>
          <w:lang w:val="en-US" w:eastAsia="zh-CN"/>
        </w:rPr>
        <w:t>.</w:t>
      </w:r>
      <w:r>
        <w:rPr>
          <w:rFonts w:hint="eastAsia" w:ascii="仿宋" w:hAnsi="仿宋" w:eastAsia="仿宋" w:cs="仿宋"/>
          <w:snapToGrid/>
          <w:kern w:val="2"/>
          <w:sz w:val="28"/>
          <w:szCs w:val="28"/>
          <w:lang w:eastAsia="zh-CN"/>
        </w:rPr>
        <w:t>乙方恶意违反约定，未按合同约定提交工作成果的，经书面催告仍不提交风险评估报告和修改风险评估报告的，甲方有权解除合同，乙方应返还已收取的费用，并按照已收取费用30%的比例作为违约金，额外赔偿给甲方。</w:t>
      </w:r>
    </w:p>
    <w:p w14:paraId="7BFCD8C6">
      <w:pPr>
        <w:pStyle w:val="12"/>
        <w:keepNext w:val="0"/>
        <w:keepLines w:val="0"/>
        <w:pageBreakBefore w:val="0"/>
        <w:widowControl w:val="0"/>
        <w:wordWrap/>
        <w:overflowPunct/>
        <w:topLinePunct w:val="0"/>
        <w:bidi w:val="0"/>
        <w:spacing w:line="560" w:lineRule="exact"/>
        <w:ind w:firstLine="600"/>
        <w:rPr>
          <w:rFonts w:hint="eastAsia" w:ascii="仿宋" w:hAnsi="仿宋" w:eastAsia="仿宋" w:cs="仿宋"/>
          <w:sz w:val="28"/>
          <w:szCs w:val="28"/>
        </w:rPr>
      </w:pPr>
      <w:r>
        <w:rPr>
          <w:rFonts w:hint="eastAsia" w:ascii="仿宋" w:hAnsi="仿宋" w:eastAsia="仿宋" w:cs="仿宋"/>
          <w:color w:val="000000"/>
          <w:sz w:val="28"/>
          <w:szCs w:val="28"/>
        </w:rPr>
        <w:t>4</w:t>
      </w:r>
      <w:r>
        <w:rPr>
          <w:rFonts w:hint="eastAsia" w:ascii="仿宋" w:hAnsi="仿宋" w:eastAsia="仿宋" w:cs="仿宋"/>
          <w:color w:val="000000"/>
          <w:sz w:val="28"/>
          <w:szCs w:val="28"/>
          <w:lang w:val="en-US" w:eastAsia="zh-CN"/>
        </w:rPr>
        <w:t>.</w:t>
      </w:r>
      <w:r>
        <w:rPr>
          <w:rFonts w:hint="eastAsia" w:ascii="仿宋" w:hAnsi="仿宋" w:eastAsia="仿宋" w:cs="仿宋"/>
          <w:color w:val="000000"/>
          <w:sz w:val="28"/>
          <w:szCs w:val="28"/>
        </w:rPr>
        <w:t>除本条明确约定的违约责任外，乙方未按合同约定履行义务导致甲方损失的，乙方还应承担全部损失赔偿，且甲方有权视情况单方解除本合同。</w:t>
      </w:r>
    </w:p>
    <w:p w14:paraId="0D49F27C">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 w:hAnsi="仿宋" w:eastAsia="仿宋" w:cs="仿宋"/>
          <w:b/>
          <w:snapToGrid/>
          <w:kern w:val="2"/>
          <w:sz w:val="28"/>
          <w:szCs w:val="28"/>
          <w:lang w:eastAsia="zh-CN"/>
        </w:rPr>
      </w:pPr>
      <w:r>
        <w:rPr>
          <w:rFonts w:hint="eastAsia" w:ascii="仿宋" w:hAnsi="仿宋" w:eastAsia="仿宋" w:cs="仿宋"/>
          <w:b/>
          <w:snapToGrid/>
          <w:kern w:val="2"/>
          <w:sz w:val="28"/>
          <w:szCs w:val="28"/>
          <w:lang w:eastAsia="zh-CN"/>
        </w:rPr>
        <w:t>第</w:t>
      </w:r>
      <w:r>
        <w:rPr>
          <w:rFonts w:hint="eastAsia" w:ascii="仿宋" w:hAnsi="仿宋" w:eastAsia="仿宋" w:cs="仿宋"/>
          <w:b/>
          <w:snapToGrid/>
          <w:kern w:val="2"/>
          <w:sz w:val="28"/>
          <w:szCs w:val="28"/>
          <w:lang w:val="en-US" w:eastAsia="zh-CN"/>
        </w:rPr>
        <w:t>九</w:t>
      </w:r>
      <w:r>
        <w:rPr>
          <w:rFonts w:hint="eastAsia" w:ascii="仿宋" w:hAnsi="仿宋" w:eastAsia="仿宋" w:cs="仿宋"/>
          <w:b/>
          <w:snapToGrid/>
          <w:kern w:val="2"/>
          <w:sz w:val="28"/>
          <w:szCs w:val="28"/>
          <w:lang w:eastAsia="zh-CN"/>
        </w:rPr>
        <w:t>条  不可抗力</w:t>
      </w:r>
    </w:p>
    <w:p w14:paraId="33685C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val="zh-TW" w:eastAsia="zh-CN"/>
        </w:rPr>
        <w:t>（</w:t>
      </w:r>
      <w:r>
        <w:rPr>
          <w:rFonts w:hint="eastAsia" w:ascii="仿宋" w:hAnsi="仿宋" w:eastAsia="仿宋" w:cs="仿宋"/>
          <w:snapToGrid/>
          <w:kern w:val="2"/>
          <w:sz w:val="28"/>
          <w:szCs w:val="28"/>
          <w:lang w:eastAsia="zh-CN"/>
        </w:rPr>
        <w:t>一</w:t>
      </w:r>
      <w:r>
        <w:rPr>
          <w:rFonts w:hint="eastAsia" w:ascii="仿宋" w:hAnsi="仿宋" w:eastAsia="仿宋" w:cs="仿宋"/>
          <w:snapToGrid/>
          <w:kern w:val="2"/>
          <w:sz w:val="28"/>
          <w:szCs w:val="28"/>
          <w:lang w:val="zh-TW" w:eastAsia="zh-CN"/>
        </w:rPr>
        <w:t>）由于不可抗力致使本协议无法履行时，双方应及时协商解决。</w:t>
      </w:r>
    </w:p>
    <w:p w14:paraId="1F83245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二）发生不可抗力事件，一方在本合同项下受不可抗力影响的义务，在不可抗力造成的延误期间自动中止，其履行期限应自动延长，延长期间为中止的期间，该方无须为此承担违约责任。如果发生不可抗力事件，致使不能实现合同目的的，双方均可以解除合同，自解除合同的书面通知送达对方时合同解除，双方均不需向对方承担违约责任。</w:t>
      </w:r>
    </w:p>
    <w:p w14:paraId="011D56D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三）提出受不可抗力影响的一方，应及时书面通知对方，并在随后的15日内，向对方提供不可抗力发生和持续期间的充分证据。提出受不可抗力影响的一方，还应尽一切合理努力，排除不可抗力对履行合同造成的影响。</w:t>
      </w:r>
    </w:p>
    <w:p w14:paraId="6233121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（四）发生不可抗力时，双方应立即进行磋商，寻求合理的解决方案，并且要尽一切合理努力，将不可抗力造成的损失降低到最小程度，因不可抗力造成的损失由甲乙双方各自承担。</w:t>
      </w:r>
    </w:p>
    <w:p w14:paraId="2FED0D3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 w:hAnsi="仿宋" w:eastAsia="仿宋" w:cs="仿宋"/>
          <w:b/>
          <w:bCs/>
          <w:snapToGrid/>
          <w:kern w:val="2"/>
          <w:sz w:val="28"/>
          <w:szCs w:val="28"/>
          <w:lang w:eastAsia="zh-CN"/>
        </w:rPr>
      </w:pPr>
      <w:r>
        <w:rPr>
          <w:rFonts w:hint="eastAsia" w:ascii="仿宋" w:hAnsi="仿宋" w:eastAsia="仿宋" w:cs="仿宋"/>
          <w:b/>
          <w:bCs/>
          <w:snapToGrid/>
          <w:kern w:val="2"/>
          <w:sz w:val="28"/>
          <w:szCs w:val="28"/>
          <w:lang w:eastAsia="zh-CN"/>
        </w:rPr>
        <w:t>第十条  争议解决</w:t>
      </w:r>
    </w:p>
    <w:p w14:paraId="377DB7B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本合同在履行过程中发生的争议，由甲、乙双方当事人协商解决，协商不成的按下列第</w:t>
      </w:r>
      <w:r>
        <w:rPr>
          <w:rFonts w:hint="eastAsia" w:ascii="仿宋" w:hAnsi="仿宋" w:eastAsia="仿宋" w:cs="仿宋"/>
          <w:snapToGrid/>
          <w:kern w:val="2"/>
          <w:sz w:val="28"/>
          <w:szCs w:val="28"/>
          <w:u w:val="single"/>
          <w:lang w:eastAsia="zh-CN"/>
        </w:rPr>
        <w:t>（二）</w:t>
      </w:r>
      <w:r>
        <w:rPr>
          <w:rFonts w:hint="eastAsia" w:ascii="仿宋" w:hAnsi="仿宋" w:eastAsia="仿宋" w:cs="仿宋"/>
          <w:snapToGrid/>
          <w:kern w:val="2"/>
          <w:sz w:val="28"/>
          <w:szCs w:val="28"/>
          <w:lang w:eastAsia="zh-CN"/>
        </w:rPr>
        <w:t>种方式解决。</w:t>
      </w:r>
    </w:p>
    <w:p w14:paraId="5D860D3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（一）提交西安仲裁委员会仲裁。</w:t>
      </w:r>
    </w:p>
    <w:p w14:paraId="284DB17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（二）依法向甲方所在地人民法院起诉。</w:t>
      </w:r>
    </w:p>
    <w:p w14:paraId="0EBEAA47">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 w:hAnsi="仿宋" w:eastAsia="仿宋" w:cs="仿宋"/>
          <w:b/>
          <w:bCs/>
          <w:snapToGrid/>
          <w:kern w:val="2"/>
          <w:sz w:val="28"/>
          <w:szCs w:val="28"/>
          <w:lang w:eastAsia="zh-CN"/>
        </w:rPr>
      </w:pPr>
      <w:r>
        <w:rPr>
          <w:rFonts w:hint="eastAsia" w:ascii="仿宋" w:hAnsi="仿宋" w:eastAsia="仿宋" w:cs="仿宋"/>
          <w:b/>
          <w:bCs/>
          <w:snapToGrid/>
          <w:kern w:val="2"/>
          <w:sz w:val="28"/>
          <w:szCs w:val="28"/>
          <w:lang w:eastAsia="zh-CN"/>
        </w:rPr>
        <w:t>第十</w:t>
      </w:r>
      <w:r>
        <w:rPr>
          <w:rFonts w:hint="eastAsia" w:ascii="仿宋" w:hAnsi="仿宋" w:eastAsia="仿宋" w:cs="仿宋"/>
          <w:b/>
          <w:bCs/>
          <w:snapToGrid/>
          <w:kern w:val="2"/>
          <w:sz w:val="28"/>
          <w:szCs w:val="28"/>
          <w:lang w:val="en-US" w:eastAsia="zh-CN"/>
        </w:rPr>
        <w:t>一</w:t>
      </w:r>
      <w:r>
        <w:rPr>
          <w:rFonts w:hint="eastAsia" w:ascii="仿宋" w:hAnsi="仿宋" w:eastAsia="仿宋" w:cs="仿宋"/>
          <w:b/>
          <w:bCs/>
          <w:snapToGrid/>
          <w:kern w:val="2"/>
          <w:sz w:val="28"/>
          <w:szCs w:val="28"/>
          <w:lang w:eastAsia="zh-CN"/>
        </w:rPr>
        <w:t>条  保密</w:t>
      </w:r>
    </w:p>
    <w:p w14:paraId="1A766E1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未经对方允许，任何一方不得将对方收集的、整理的、复制的、研究的和准备的，与本合同项下工作有关的一切资料提供给任何第三方。本条规定不影响为推介本项目已经公开发布的任何项目信息。</w:t>
      </w:r>
    </w:p>
    <w:p w14:paraId="2B0A7EC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任何一方不得将本合同内容，包括支付费用及支付信息等提供给任何利益冲突第三方（我国现行法律、法规中明确甲方应予以配合提供给相关机构的情况除外）。</w:t>
      </w:r>
    </w:p>
    <w:p w14:paraId="39A9808C">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任何一方若违反该条保密条款，给对方造成经济损失，违约方应当承担违约责任与损害赔偿责任。</w:t>
      </w:r>
    </w:p>
    <w:p w14:paraId="2188AF4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关于保密的规定在本合同终止后五年内有效。</w:t>
      </w:r>
    </w:p>
    <w:p w14:paraId="3AC3F32A">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 w:hAnsi="仿宋" w:eastAsia="仿宋" w:cs="仿宋"/>
          <w:b/>
          <w:bCs/>
          <w:snapToGrid/>
          <w:kern w:val="2"/>
          <w:sz w:val="28"/>
          <w:szCs w:val="28"/>
          <w:lang w:eastAsia="zh-CN"/>
        </w:rPr>
      </w:pPr>
      <w:r>
        <w:rPr>
          <w:rFonts w:hint="eastAsia" w:ascii="仿宋" w:hAnsi="仿宋" w:eastAsia="仿宋" w:cs="仿宋"/>
          <w:b/>
          <w:bCs/>
          <w:snapToGrid/>
          <w:kern w:val="2"/>
          <w:sz w:val="28"/>
          <w:szCs w:val="28"/>
          <w:lang w:eastAsia="zh-CN"/>
        </w:rPr>
        <w:t>第十</w:t>
      </w:r>
      <w:r>
        <w:rPr>
          <w:rFonts w:hint="eastAsia" w:ascii="仿宋" w:hAnsi="仿宋" w:eastAsia="仿宋" w:cs="仿宋"/>
          <w:b/>
          <w:bCs/>
          <w:snapToGrid/>
          <w:kern w:val="2"/>
          <w:sz w:val="28"/>
          <w:szCs w:val="28"/>
          <w:lang w:val="en-US" w:eastAsia="zh-CN"/>
        </w:rPr>
        <w:t>二</w:t>
      </w:r>
      <w:r>
        <w:rPr>
          <w:rFonts w:hint="eastAsia" w:ascii="仿宋" w:hAnsi="仿宋" w:eastAsia="仿宋" w:cs="仿宋"/>
          <w:b/>
          <w:bCs/>
          <w:snapToGrid/>
          <w:kern w:val="2"/>
          <w:sz w:val="28"/>
          <w:szCs w:val="28"/>
          <w:lang w:eastAsia="zh-CN"/>
        </w:rPr>
        <w:t>条  合同生效</w:t>
      </w:r>
    </w:p>
    <w:p w14:paraId="5596821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（一）本合同须经甲、乙双方的法定代表人（被授权代表）在合同书上签字并加盖本单位公章后正式生效。</w:t>
      </w:r>
    </w:p>
    <w:p w14:paraId="5AB140D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（二）合同生效后，甲、乙双方须严格执行本合同条款的规定，全面履行合同。</w:t>
      </w:r>
    </w:p>
    <w:p w14:paraId="3ABD9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（三）本合同一式</w:t>
      </w:r>
      <w:r>
        <w:rPr>
          <w:rFonts w:hint="eastAsia" w:ascii="仿宋" w:hAnsi="仿宋" w:eastAsia="仿宋" w:cs="仿宋"/>
          <w:snapToGrid/>
          <w:kern w:val="2"/>
          <w:sz w:val="28"/>
          <w:szCs w:val="28"/>
          <w:u w:val="single"/>
          <w:lang w:eastAsia="zh-CN"/>
        </w:rPr>
        <w:t>6</w:t>
      </w:r>
      <w:r>
        <w:rPr>
          <w:rFonts w:hint="eastAsia" w:ascii="仿宋" w:hAnsi="仿宋" w:eastAsia="仿宋" w:cs="仿宋"/>
          <w:snapToGrid/>
          <w:kern w:val="2"/>
          <w:sz w:val="28"/>
          <w:szCs w:val="28"/>
          <w:lang w:eastAsia="zh-CN"/>
        </w:rPr>
        <w:t>份，甲方执</w:t>
      </w:r>
      <w:r>
        <w:rPr>
          <w:rFonts w:hint="eastAsia" w:ascii="仿宋" w:hAnsi="仿宋" w:eastAsia="仿宋" w:cs="仿宋"/>
          <w:snapToGrid/>
          <w:kern w:val="2"/>
          <w:sz w:val="28"/>
          <w:szCs w:val="28"/>
          <w:u w:val="single"/>
          <w:lang w:eastAsia="zh-CN"/>
        </w:rPr>
        <w:t>4</w:t>
      </w:r>
      <w:r>
        <w:rPr>
          <w:rFonts w:hint="eastAsia" w:ascii="仿宋" w:hAnsi="仿宋" w:eastAsia="仿宋" w:cs="仿宋"/>
          <w:snapToGrid/>
          <w:kern w:val="2"/>
          <w:sz w:val="28"/>
          <w:szCs w:val="28"/>
          <w:lang w:eastAsia="zh-CN"/>
        </w:rPr>
        <w:t>份，乙方执</w:t>
      </w:r>
      <w:r>
        <w:rPr>
          <w:rFonts w:hint="eastAsia" w:ascii="仿宋" w:hAnsi="仿宋" w:eastAsia="仿宋" w:cs="仿宋"/>
          <w:snapToGrid/>
          <w:kern w:val="2"/>
          <w:sz w:val="28"/>
          <w:szCs w:val="28"/>
          <w:u w:val="single"/>
          <w:lang w:eastAsia="zh-CN"/>
        </w:rPr>
        <w:t>2</w:t>
      </w:r>
      <w:r>
        <w:rPr>
          <w:rFonts w:hint="eastAsia" w:ascii="仿宋" w:hAnsi="仿宋" w:eastAsia="仿宋" w:cs="仿宋"/>
          <w:snapToGrid/>
          <w:kern w:val="2"/>
          <w:sz w:val="28"/>
          <w:szCs w:val="28"/>
          <w:lang w:eastAsia="zh-CN"/>
        </w:rPr>
        <w:t>份，具有同等法律效力。</w:t>
      </w:r>
    </w:p>
    <w:p w14:paraId="55125251">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rPr>
          <w:rFonts w:hint="eastAsia" w:ascii="仿宋" w:hAnsi="仿宋" w:eastAsia="仿宋" w:cs="仿宋"/>
          <w:b/>
          <w:bCs/>
          <w:snapToGrid/>
          <w:kern w:val="2"/>
          <w:sz w:val="28"/>
          <w:szCs w:val="28"/>
          <w:lang w:eastAsia="zh-CN"/>
        </w:rPr>
      </w:pPr>
      <w:r>
        <w:rPr>
          <w:rFonts w:hint="eastAsia" w:ascii="仿宋" w:hAnsi="仿宋" w:eastAsia="仿宋" w:cs="仿宋"/>
          <w:b/>
          <w:bCs/>
          <w:snapToGrid/>
          <w:kern w:val="2"/>
          <w:sz w:val="28"/>
          <w:szCs w:val="28"/>
          <w:lang w:eastAsia="zh-CN"/>
        </w:rPr>
        <w:t>第十</w:t>
      </w:r>
      <w:r>
        <w:rPr>
          <w:rFonts w:hint="eastAsia" w:ascii="仿宋" w:hAnsi="仿宋" w:eastAsia="仿宋" w:cs="仿宋"/>
          <w:b/>
          <w:bCs/>
          <w:snapToGrid/>
          <w:kern w:val="2"/>
          <w:sz w:val="28"/>
          <w:szCs w:val="28"/>
          <w:lang w:val="en-US" w:eastAsia="zh-CN"/>
        </w:rPr>
        <w:t>三</w:t>
      </w:r>
      <w:r>
        <w:rPr>
          <w:rFonts w:hint="eastAsia" w:ascii="仿宋" w:hAnsi="仿宋" w:eastAsia="仿宋" w:cs="仿宋"/>
          <w:b/>
          <w:bCs/>
          <w:snapToGrid/>
          <w:kern w:val="2"/>
          <w:sz w:val="28"/>
          <w:szCs w:val="28"/>
          <w:lang w:eastAsia="zh-CN"/>
        </w:rPr>
        <w:t>条  其它事项</w:t>
      </w:r>
    </w:p>
    <w:p w14:paraId="7BF2742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（一）乙方不得将本合同服务项目转让、分包给其它单位或个人。</w:t>
      </w:r>
    </w:p>
    <w:p w14:paraId="1D46B47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（二）本合同尾部甲、乙双方的地址视为双方联系的固定通讯地址，若在履行本合同中双方有书面信函往来，该地址为双方法定地址。若其中任何一方变更住所地地址的，应在五日之内通知对方。</w:t>
      </w:r>
    </w:p>
    <w:p w14:paraId="33B055A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b/>
          <w:snapToGrid/>
          <w:kern w:val="2"/>
          <w:sz w:val="28"/>
          <w:szCs w:val="28"/>
          <w:lang w:eastAsia="zh-CN"/>
        </w:rPr>
      </w:pPr>
      <w:r>
        <w:rPr>
          <w:rFonts w:hint="eastAsia" w:ascii="仿宋" w:hAnsi="仿宋" w:eastAsia="仿宋" w:cs="仿宋"/>
          <w:snapToGrid/>
          <w:kern w:val="2"/>
          <w:sz w:val="28"/>
          <w:szCs w:val="28"/>
          <w:lang w:eastAsia="zh-CN"/>
        </w:rPr>
        <w:t>（三）</w:t>
      </w:r>
      <w:r>
        <w:rPr>
          <w:rFonts w:hint="eastAsia" w:ascii="仿宋" w:hAnsi="仿宋" w:eastAsia="仿宋" w:cs="仿宋"/>
          <w:snapToGrid/>
          <w:kern w:val="2"/>
          <w:sz w:val="28"/>
          <w:szCs w:val="28"/>
          <w:lang w:val="zh-TW" w:eastAsia="zh-CN"/>
        </w:rPr>
        <w:t>本</w:t>
      </w:r>
      <w:r>
        <w:rPr>
          <w:rFonts w:hint="eastAsia" w:ascii="仿宋" w:hAnsi="仿宋" w:eastAsia="仿宋" w:cs="仿宋"/>
          <w:snapToGrid/>
          <w:kern w:val="2"/>
          <w:sz w:val="28"/>
          <w:szCs w:val="28"/>
          <w:lang w:eastAsia="zh-CN"/>
        </w:rPr>
        <w:t>合同</w:t>
      </w:r>
      <w:r>
        <w:rPr>
          <w:rFonts w:hint="eastAsia" w:ascii="仿宋" w:hAnsi="仿宋" w:eastAsia="仿宋" w:cs="仿宋"/>
          <w:snapToGrid/>
          <w:kern w:val="2"/>
          <w:sz w:val="28"/>
          <w:szCs w:val="28"/>
          <w:lang w:val="zh-TW" w:eastAsia="zh-CN"/>
        </w:rPr>
        <w:t>未尽事宜，由甲、乙双方协商并签订补充</w:t>
      </w:r>
      <w:r>
        <w:rPr>
          <w:rFonts w:hint="eastAsia" w:ascii="仿宋" w:hAnsi="仿宋" w:eastAsia="仿宋" w:cs="仿宋"/>
          <w:snapToGrid/>
          <w:kern w:val="2"/>
          <w:sz w:val="28"/>
          <w:szCs w:val="28"/>
          <w:lang w:eastAsia="zh-CN"/>
        </w:rPr>
        <w:t>合同</w:t>
      </w:r>
      <w:r>
        <w:rPr>
          <w:rFonts w:hint="eastAsia" w:ascii="仿宋" w:hAnsi="仿宋" w:eastAsia="仿宋" w:cs="仿宋"/>
          <w:snapToGrid/>
          <w:kern w:val="2"/>
          <w:sz w:val="28"/>
          <w:szCs w:val="28"/>
          <w:lang w:val="zh-TW" w:eastAsia="zh-CN"/>
        </w:rPr>
        <w:t>。</w:t>
      </w:r>
      <w:r>
        <w:rPr>
          <w:rFonts w:hint="eastAsia" w:ascii="仿宋" w:hAnsi="仿宋" w:eastAsia="仿宋" w:cs="仿宋"/>
          <w:snapToGrid/>
          <w:kern w:val="2"/>
          <w:sz w:val="28"/>
          <w:szCs w:val="28"/>
          <w:lang w:eastAsia="zh-CN"/>
        </w:rPr>
        <w:t>本合同附件、</w:t>
      </w:r>
      <w:r>
        <w:rPr>
          <w:rFonts w:hint="eastAsia" w:ascii="仿宋" w:hAnsi="仿宋" w:eastAsia="仿宋" w:cs="仿宋"/>
          <w:snapToGrid/>
          <w:kern w:val="2"/>
          <w:sz w:val="28"/>
          <w:szCs w:val="28"/>
          <w:lang w:val="zh-TW" w:eastAsia="zh-CN"/>
        </w:rPr>
        <w:t>补充</w:t>
      </w:r>
      <w:r>
        <w:rPr>
          <w:rFonts w:hint="eastAsia" w:ascii="仿宋" w:hAnsi="仿宋" w:eastAsia="仿宋" w:cs="仿宋"/>
          <w:snapToGrid/>
          <w:kern w:val="2"/>
          <w:sz w:val="28"/>
          <w:szCs w:val="28"/>
          <w:lang w:eastAsia="zh-CN"/>
        </w:rPr>
        <w:t>合同</w:t>
      </w:r>
      <w:r>
        <w:rPr>
          <w:rFonts w:hint="eastAsia" w:ascii="仿宋" w:hAnsi="仿宋" w:eastAsia="仿宋" w:cs="仿宋"/>
          <w:snapToGrid/>
          <w:kern w:val="2"/>
          <w:sz w:val="28"/>
          <w:szCs w:val="28"/>
          <w:lang w:val="zh-TW" w:eastAsia="zh-CN"/>
        </w:rPr>
        <w:t>及双方认可的涉及主要内容来往电报、传真、会议纪要等，均为本</w:t>
      </w:r>
      <w:r>
        <w:rPr>
          <w:rFonts w:hint="eastAsia" w:ascii="仿宋" w:hAnsi="仿宋" w:eastAsia="仿宋" w:cs="仿宋"/>
          <w:snapToGrid/>
          <w:kern w:val="2"/>
          <w:sz w:val="28"/>
          <w:szCs w:val="28"/>
          <w:lang w:eastAsia="zh-CN"/>
        </w:rPr>
        <w:t>合同</w:t>
      </w:r>
      <w:r>
        <w:rPr>
          <w:rFonts w:hint="eastAsia" w:ascii="仿宋" w:hAnsi="仿宋" w:eastAsia="仿宋" w:cs="仿宋"/>
          <w:snapToGrid/>
          <w:kern w:val="2"/>
          <w:sz w:val="28"/>
          <w:szCs w:val="28"/>
          <w:lang w:val="zh-TW" w:eastAsia="zh-CN"/>
        </w:rPr>
        <w:t>的组成部分，与本</w:t>
      </w:r>
      <w:r>
        <w:rPr>
          <w:rFonts w:hint="eastAsia" w:ascii="仿宋" w:hAnsi="仿宋" w:eastAsia="仿宋" w:cs="仿宋"/>
          <w:snapToGrid/>
          <w:kern w:val="2"/>
          <w:sz w:val="28"/>
          <w:szCs w:val="28"/>
          <w:lang w:eastAsia="zh-CN"/>
        </w:rPr>
        <w:t>合同</w:t>
      </w:r>
      <w:r>
        <w:rPr>
          <w:rFonts w:hint="eastAsia" w:ascii="仿宋" w:hAnsi="仿宋" w:eastAsia="仿宋" w:cs="仿宋"/>
          <w:snapToGrid/>
          <w:kern w:val="2"/>
          <w:sz w:val="28"/>
          <w:szCs w:val="28"/>
          <w:lang w:val="zh-TW" w:eastAsia="zh-CN"/>
        </w:rPr>
        <w:t>具有同等法律效力。</w:t>
      </w:r>
      <w:r>
        <w:rPr>
          <w:rFonts w:hint="eastAsia" w:ascii="仿宋" w:hAnsi="仿宋" w:eastAsia="仿宋" w:cs="仿宋"/>
          <w:snapToGrid/>
          <w:kern w:val="2"/>
          <w:sz w:val="28"/>
          <w:szCs w:val="28"/>
          <w:lang w:eastAsia="zh-CN"/>
        </w:rPr>
        <w:t>如补充合同条款与本合同有不一致的，以补充合同为准。</w:t>
      </w:r>
    </w:p>
    <w:p w14:paraId="13A4348A">
      <w:pPr>
        <w:keepNext w:val="0"/>
        <w:keepLines w:val="0"/>
        <w:pageBreakBefore w:val="0"/>
        <w:widowControl w:val="0"/>
        <w:kinsoku/>
        <w:wordWrap/>
        <w:overflowPunct/>
        <w:topLinePunct w:val="0"/>
        <w:autoSpaceDE/>
        <w:autoSpaceDN/>
        <w:bidi w:val="0"/>
        <w:spacing w:line="560" w:lineRule="exact"/>
        <w:ind w:firstLine="562" w:firstLineChars="200"/>
        <w:jc w:val="both"/>
        <w:textAlignment w:val="auto"/>
        <w:rPr>
          <w:rFonts w:hint="eastAsia" w:ascii="仿宋" w:hAnsi="仿宋" w:eastAsia="仿宋" w:cs="仿宋"/>
          <w:b/>
          <w:snapToGrid/>
          <w:kern w:val="2"/>
          <w:sz w:val="28"/>
          <w:szCs w:val="28"/>
          <w:lang w:eastAsia="zh-CN"/>
        </w:rPr>
      </w:pPr>
      <w:r>
        <w:rPr>
          <w:rFonts w:hint="eastAsia" w:ascii="仿宋" w:hAnsi="仿宋" w:eastAsia="仿宋" w:cs="仿宋"/>
          <w:b/>
          <w:snapToGrid/>
          <w:kern w:val="2"/>
          <w:sz w:val="28"/>
          <w:szCs w:val="28"/>
          <w:lang w:eastAsia="zh-CN"/>
        </w:rPr>
        <w:t>附件：西安市城市生命线安全工程综合管廊专项项目技术服务人员名单</w:t>
      </w:r>
    </w:p>
    <w:p w14:paraId="01CA6F33">
      <w:pPr>
        <w:rPr>
          <w:rFonts w:hint="eastAsia" w:ascii="仿宋" w:hAnsi="仿宋" w:eastAsia="仿宋" w:cs="仿宋"/>
          <w:b/>
          <w:snapToGrid/>
          <w:kern w:val="2"/>
          <w:sz w:val="28"/>
          <w:szCs w:val="28"/>
          <w:lang w:eastAsia="zh-CN"/>
        </w:rPr>
      </w:pPr>
      <w:r>
        <w:rPr>
          <w:rFonts w:hint="eastAsia" w:ascii="仿宋" w:hAnsi="仿宋" w:eastAsia="仿宋" w:cs="仿宋"/>
          <w:b/>
          <w:snapToGrid/>
          <w:kern w:val="2"/>
          <w:sz w:val="28"/>
          <w:szCs w:val="28"/>
          <w:lang w:eastAsia="zh-CN"/>
        </w:rPr>
        <w:br w:type="page"/>
      </w:r>
    </w:p>
    <w:tbl>
      <w:tblPr>
        <w:tblStyle w:val="13"/>
        <w:tblpPr w:leftFromText="180" w:rightFromText="180" w:vertAnchor="text" w:horzAnchor="page" w:tblpXSpec="center" w:tblpY="444"/>
        <w:tblOverlap w:val="never"/>
        <w:tblW w:w="9889" w:type="dxa"/>
        <w:jc w:val="center"/>
        <w:tblLayout w:type="fixed"/>
        <w:tblCellMar>
          <w:top w:w="0" w:type="dxa"/>
          <w:left w:w="108" w:type="dxa"/>
          <w:bottom w:w="0" w:type="dxa"/>
          <w:right w:w="108" w:type="dxa"/>
        </w:tblCellMar>
      </w:tblPr>
      <w:tblGrid>
        <w:gridCol w:w="4644"/>
        <w:gridCol w:w="5245"/>
      </w:tblGrid>
      <w:tr w14:paraId="0FDC59A0">
        <w:tblPrEx>
          <w:tblCellMar>
            <w:top w:w="0" w:type="dxa"/>
            <w:left w:w="108" w:type="dxa"/>
            <w:bottom w:w="0" w:type="dxa"/>
            <w:right w:w="108" w:type="dxa"/>
          </w:tblCellMar>
        </w:tblPrEx>
        <w:trPr>
          <w:trHeight w:val="1376" w:hRule="exact"/>
          <w:jc w:val="center"/>
        </w:trPr>
        <w:tc>
          <w:tcPr>
            <w:tcW w:w="4644" w:type="dxa"/>
            <w:noWrap w:val="0"/>
            <w:vAlign w:val="center"/>
          </w:tcPr>
          <w:p w14:paraId="7E62524A">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甲方：西安市住房和城乡建设局</w:t>
            </w:r>
          </w:p>
        </w:tc>
        <w:tc>
          <w:tcPr>
            <w:tcW w:w="5245" w:type="dxa"/>
            <w:noWrap w:val="0"/>
            <w:vAlign w:val="center"/>
          </w:tcPr>
          <w:p w14:paraId="4CBF676F">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乙方：</w:t>
            </w:r>
          </w:p>
        </w:tc>
      </w:tr>
      <w:tr w14:paraId="314D9D0A">
        <w:tblPrEx>
          <w:tblCellMar>
            <w:top w:w="0" w:type="dxa"/>
            <w:left w:w="108" w:type="dxa"/>
            <w:bottom w:w="0" w:type="dxa"/>
            <w:right w:w="108" w:type="dxa"/>
          </w:tblCellMar>
        </w:tblPrEx>
        <w:trPr>
          <w:trHeight w:val="567" w:hRule="exact"/>
          <w:jc w:val="center"/>
        </w:trPr>
        <w:tc>
          <w:tcPr>
            <w:tcW w:w="4644" w:type="dxa"/>
            <w:noWrap w:val="0"/>
            <w:vAlign w:val="center"/>
          </w:tcPr>
          <w:p w14:paraId="291415D6">
            <w:pPr>
              <w:keepNext w:val="0"/>
              <w:keepLines w:val="0"/>
              <w:widowControl w:val="0"/>
              <w:suppressLineNumbers w:val="0"/>
              <w:kinsoku/>
              <w:autoSpaceDE w:val="0"/>
              <w:autoSpaceDN w:val="0"/>
              <w:adjustRightInd w:val="0"/>
              <w:snapToGrid/>
              <w:spacing w:before="0" w:beforeAutospacing="0" w:after="0" w:afterAutospacing="0" w:line="240" w:lineRule="auto"/>
              <w:ind w:left="0" w:right="0" w:firstLine="1080" w:firstLineChars="45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（盖章）</w:t>
            </w:r>
          </w:p>
        </w:tc>
        <w:tc>
          <w:tcPr>
            <w:tcW w:w="5245" w:type="dxa"/>
            <w:noWrap w:val="0"/>
            <w:vAlign w:val="center"/>
          </w:tcPr>
          <w:p w14:paraId="1517A21E">
            <w:pPr>
              <w:keepNext w:val="0"/>
              <w:keepLines w:val="0"/>
              <w:widowControl w:val="0"/>
              <w:suppressLineNumbers w:val="0"/>
              <w:kinsoku/>
              <w:autoSpaceDE w:val="0"/>
              <w:autoSpaceDN w:val="0"/>
              <w:adjustRightInd w:val="0"/>
              <w:snapToGrid/>
              <w:spacing w:before="0" w:beforeAutospacing="0" w:after="0" w:afterAutospacing="0" w:line="240" w:lineRule="auto"/>
              <w:ind w:left="0" w:right="0" w:firstLine="1440" w:firstLineChars="60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（盖章）</w:t>
            </w:r>
          </w:p>
        </w:tc>
      </w:tr>
      <w:tr w14:paraId="6544DF2F">
        <w:tblPrEx>
          <w:tblCellMar>
            <w:top w:w="0" w:type="dxa"/>
            <w:left w:w="108" w:type="dxa"/>
            <w:bottom w:w="0" w:type="dxa"/>
            <w:right w:w="108" w:type="dxa"/>
          </w:tblCellMar>
        </w:tblPrEx>
        <w:trPr>
          <w:trHeight w:val="1109" w:hRule="exact"/>
          <w:jc w:val="center"/>
        </w:trPr>
        <w:tc>
          <w:tcPr>
            <w:tcW w:w="4644" w:type="dxa"/>
            <w:noWrap w:val="0"/>
            <w:vAlign w:val="center"/>
          </w:tcPr>
          <w:p w14:paraId="524C8A2E">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地址：</w:t>
            </w:r>
          </w:p>
        </w:tc>
        <w:tc>
          <w:tcPr>
            <w:tcW w:w="5245" w:type="dxa"/>
            <w:noWrap w:val="0"/>
            <w:vAlign w:val="center"/>
          </w:tcPr>
          <w:p w14:paraId="72DE37C1">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地址：</w:t>
            </w:r>
          </w:p>
          <w:p w14:paraId="53845571">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p>
        </w:tc>
      </w:tr>
      <w:tr w14:paraId="6757C1ED">
        <w:tblPrEx>
          <w:tblCellMar>
            <w:top w:w="0" w:type="dxa"/>
            <w:left w:w="108" w:type="dxa"/>
            <w:bottom w:w="0" w:type="dxa"/>
            <w:right w:w="108" w:type="dxa"/>
          </w:tblCellMar>
        </w:tblPrEx>
        <w:trPr>
          <w:trHeight w:val="567" w:hRule="exact"/>
          <w:jc w:val="center"/>
        </w:trPr>
        <w:tc>
          <w:tcPr>
            <w:tcW w:w="4644" w:type="dxa"/>
            <w:noWrap w:val="0"/>
            <w:vAlign w:val="center"/>
          </w:tcPr>
          <w:p w14:paraId="1EFEF36E">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邮编：</w:t>
            </w:r>
          </w:p>
        </w:tc>
        <w:tc>
          <w:tcPr>
            <w:tcW w:w="5245" w:type="dxa"/>
            <w:noWrap w:val="0"/>
            <w:vAlign w:val="center"/>
          </w:tcPr>
          <w:p w14:paraId="3849428E">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邮编：</w:t>
            </w:r>
          </w:p>
        </w:tc>
      </w:tr>
      <w:tr w14:paraId="1721A57D">
        <w:tblPrEx>
          <w:tblCellMar>
            <w:top w:w="0" w:type="dxa"/>
            <w:left w:w="108" w:type="dxa"/>
            <w:bottom w:w="0" w:type="dxa"/>
            <w:right w:w="108" w:type="dxa"/>
          </w:tblCellMar>
        </w:tblPrEx>
        <w:trPr>
          <w:trHeight w:val="567" w:hRule="exact"/>
          <w:jc w:val="center"/>
        </w:trPr>
        <w:tc>
          <w:tcPr>
            <w:tcW w:w="4644" w:type="dxa"/>
            <w:noWrap w:val="0"/>
            <w:vAlign w:val="center"/>
          </w:tcPr>
          <w:p w14:paraId="34F6841E">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 xml:space="preserve">法定代表人： </w:t>
            </w:r>
          </w:p>
        </w:tc>
        <w:tc>
          <w:tcPr>
            <w:tcW w:w="5245" w:type="dxa"/>
            <w:noWrap w:val="0"/>
            <w:vAlign w:val="center"/>
          </w:tcPr>
          <w:p w14:paraId="23F08548">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法定代表人：</w:t>
            </w:r>
          </w:p>
        </w:tc>
      </w:tr>
      <w:tr w14:paraId="07CC61CE">
        <w:tblPrEx>
          <w:tblCellMar>
            <w:top w:w="0" w:type="dxa"/>
            <w:left w:w="108" w:type="dxa"/>
            <w:bottom w:w="0" w:type="dxa"/>
            <w:right w:w="108" w:type="dxa"/>
          </w:tblCellMar>
        </w:tblPrEx>
        <w:trPr>
          <w:trHeight w:val="567" w:hRule="exact"/>
          <w:jc w:val="center"/>
        </w:trPr>
        <w:tc>
          <w:tcPr>
            <w:tcW w:w="4644" w:type="dxa"/>
            <w:noWrap w:val="0"/>
            <w:vAlign w:val="center"/>
          </w:tcPr>
          <w:p w14:paraId="5123628D">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被授权代表：</w:t>
            </w:r>
          </w:p>
        </w:tc>
        <w:tc>
          <w:tcPr>
            <w:tcW w:w="5245" w:type="dxa"/>
            <w:noWrap w:val="0"/>
            <w:vAlign w:val="center"/>
          </w:tcPr>
          <w:p w14:paraId="759DEEBD">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被授权代表：</w:t>
            </w:r>
          </w:p>
        </w:tc>
      </w:tr>
      <w:tr w14:paraId="128085CA">
        <w:tblPrEx>
          <w:tblCellMar>
            <w:top w:w="0" w:type="dxa"/>
            <w:left w:w="108" w:type="dxa"/>
            <w:bottom w:w="0" w:type="dxa"/>
            <w:right w:w="108" w:type="dxa"/>
          </w:tblCellMar>
        </w:tblPrEx>
        <w:trPr>
          <w:trHeight w:val="567" w:hRule="exact"/>
          <w:jc w:val="center"/>
        </w:trPr>
        <w:tc>
          <w:tcPr>
            <w:tcW w:w="4644" w:type="dxa"/>
            <w:noWrap w:val="0"/>
            <w:vAlign w:val="center"/>
          </w:tcPr>
          <w:p w14:paraId="434B239C">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电话：</w:t>
            </w:r>
          </w:p>
        </w:tc>
        <w:tc>
          <w:tcPr>
            <w:tcW w:w="5245" w:type="dxa"/>
            <w:noWrap w:val="0"/>
            <w:vAlign w:val="center"/>
          </w:tcPr>
          <w:p w14:paraId="01BAA885">
            <w:pPr>
              <w:keepNext w:val="0"/>
              <w:keepLines w:val="0"/>
              <w:widowControl w:val="0"/>
              <w:suppressLineNumbers w:val="0"/>
              <w:kinsoku/>
              <w:autoSpaceDE w:val="0"/>
              <w:autoSpaceDN w:val="0"/>
              <w:adjustRightInd w:val="0"/>
              <w:snapToGrid/>
              <w:spacing w:before="0" w:beforeAutospacing="0" w:after="0" w:afterAutospacing="0" w:line="240" w:lineRule="auto"/>
              <w:ind w:left="840" w:right="0" w:hanging="720" w:hangingChars="30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电话：</w:t>
            </w:r>
          </w:p>
        </w:tc>
      </w:tr>
      <w:tr w14:paraId="1C23DC3D">
        <w:tblPrEx>
          <w:tblCellMar>
            <w:top w:w="0" w:type="dxa"/>
            <w:left w:w="108" w:type="dxa"/>
            <w:bottom w:w="0" w:type="dxa"/>
            <w:right w:w="108" w:type="dxa"/>
          </w:tblCellMar>
        </w:tblPrEx>
        <w:trPr>
          <w:trHeight w:val="567" w:hRule="exact"/>
          <w:jc w:val="center"/>
        </w:trPr>
        <w:tc>
          <w:tcPr>
            <w:tcW w:w="4644" w:type="dxa"/>
            <w:noWrap w:val="0"/>
            <w:vAlign w:val="center"/>
          </w:tcPr>
          <w:p w14:paraId="0A9431BF">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传真：</w:t>
            </w:r>
          </w:p>
        </w:tc>
        <w:tc>
          <w:tcPr>
            <w:tcW w:w="5245" w:type="dxa"/>
            <w:noWrap w:val="0"/>
            <w:vAlign w:val="center"/>
          </w:tcPr>
          <w:p w14:paraId="3F98FCBE">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传真：</w:t>
            </w:r>
          </w:p>
          <w:p w14:paraId="2B93C1A7">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p>
        </w:tc>
      </w:tr>
      <w:tr w14:paraId="05611289">
        <w:tblPrEx>
          <w:tblCellMar>
            <w:top w:w="0" w:type="dxa"/>
            <w:left w:w="108" w:type="dxa"/>
            <w:bottom w:w="0" w:type="dxa"/>
            <w:right w:w="108" w:type="dxa"/>
          </w:tblCellMar>
        </w:tblPrEx>
        <w:trPr>
          <w:trHeight w:val="567" w:hRule="exact"/>
          <w:jc w:val="center"/>
        </w:trPr>
        <w:tc>
          <w:tcPr>
            <w:tcW w:w="4644" w:type="dxa"/>
            <w:noWrap w:val="0"/>
            <w:vAlign w:val="center"/>
          </w:tcPr>
          <w:p w14:paraId="5BEAD7DA">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开户银行：</w:t>
            </w:r>
          </w:p>
        </w:tc>
        <w:tc>
          <w:tcPr>
            <w:tcW w:w="5245" w:type="dxa"/>
            <w:noWrap w:val="0"/>
            <w:vAlign w:val="center"/>
          </w:tcPr>
          <w:p w14:paraId="7C523F25">
            <w:pPr>
              <w:keepNext w:val="0"/>
              <w:keepLines w:val="0"/>
              <w:widowControl w:val="0"/>
              <w:suppressLineNumbers w:val="0"/>
              <w:kinsoku/>
              <w:autoSpaceDE/>
              <w:autoSpaceDN/>
              <w:adjustRightInd/>
              <w:snapToGrid/>
              <w:spacing w:before="0" w:beforeAutospacing="0" w:after="0" w:afterAutospacing="0" w:line="460" w:lineRule="exact"/>
              <w:ind w:left="0" w:right="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spacing w:val="-20"/>
                <w:kern w:val="0"/>
                <w:sz w:val="28"/>
                <w:szCs w:val="28"/>
                <w:lang w:eastAsia="zh-CN"/>
              </w:rPr>
              <w:t>开户银行：</w:t>
            </w:r>
          </w:p>
          <w:p w14:paraId="33B194A9">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p>
        </w:tc>
      </w:tr>
      <w:tr w14:paraId="4EAC4E68">
        <w:tblPrEx>
          <w:tblCellMar>
            <w:top w:w="0" w:type="dxa"/>
            <w:left w:w="108" w:type="dxa"/>
            <w:bottom w:w="0" w:type="dxa"/>
            <w:right w:w="108" w:type="dxa"/>
          </w:tblCellMar>
        </w:tblPrEx>
        <w:trPr>
          <w:trHeight w:val="567" w:hRule="exact"/>
          <w:jc w:val="center"/>
        </w:trPr>
        <w:tc>
          <w:tcPr>
            <w:tcW w:w="4644" w:type="dxa"/>
            <w:noWrap w:val="0"/>
            <w:vAlign w:val="center"/>
          </w:tcPr>
          <w:p w14:paraId="7642D5BC">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银行账号：</w:t>
            </w:r>
          </w:p>
        </w:tc>
        <w:tc>
          <w:tcPr>
            <w:tcW w:w="5245" w:type="dxa"/>
            <w:noWrap w:val="0"/>
            <w:vAlign w:val="center"/>
          </w:tcPr>
          <w:p w14:paraId="6E4EEFDE">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银行账号：</w:t>
            </w:r>
          </w:p>
          <w:p w14:paraId="36FBEBFD">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p>
        </w:tc>
      </w:tr>
      <w:tr w14:paraId="429B420B">
        <w:tblPrEx>
          <w:tblCellMar>
            <w:top w:w="0" w:type="dxa"/>
            <w:left w:w="108" w:type="dxa"/>
            <w:bottom w:w="0" w:type="dxa"/>
            <w:right w:w="108" w:type="dxa"/>
          </w:tblCellMar>
        </w:tblPrEx>
        <w:trPr>
          <w:trHeight w:val="567" w:hRule="exact"/>
          <w:jc w:val="center"/>
        </w:trPr>
        <w:tc>
          <w:tcPr>
            <w:tcW w:w="4644" w:type="dxa"/>
            <w:noWrap w:val="0"/>
            <w:vAlign w:val="center"/>
          </w:tcPr>
          <w:p w14:paraId="5635DC68">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日期：</w:t>
            </w:r>
          </w:p>
        </w:tc>
        <w:tc>
          <w:tcPr>
            <w:tcW w:w="5245" w:type="dxa"/>
            <w:noWrap w:val="0"/>
            <w:vAlign w:val="center"/>
          </w:tcPr>
          <w:p w14:paraId="4E1A255F">
            <w:pPr>
              <w:keepNext w:val="0"/>
              <w:keepLines w:val="0"/>
              <w:widowControl w:val="0"/>
              <w:suppressLineNumbers w:val="0"/>
              <w:kinsoku/>
              <w:autoSpaceDE w:val="0"/>
              <w:autoSpaceDN w:val="0"/>
              <w:adjustRightInd w:val="0"/>
              <w:snapToGrid/>
              <w:spacing w:before="0" w:beforeAutospacing="0" w:after="0" w:afterAutospacing="0" w:line="240" w:lineRule="auto"/>
              <w:ind w:left="0" w:right="0"/>
              <w:jc w:val="both"/>
              <w:textAlignment w:val="auto"/>
              <w:rPr>
                <w:rFonts w:hint="eastAsia" w:ascii="仿宋" w:hAnsi="仿宋" w:eastAsia="仿宋" w:cs="仿宋"/>
                <w:snapToGrid/>
                <w:spacing w:val="-20"/>
                <w:kern w:val="0"/>
                <w:sz w:val="28"/>
                <w:szCs w:val="28"/>
                <w:lang w:eastAsia="zh-CN"/>
              </w:rPr>
            </w:pPr>
            <w:r>
              <w:rPr>
                <w:rFonts w:hint="eastAsia" w:ascii="仿宋" w:hAnsi="仿宋" w:eastAsia="仿宋" w:cs="仿宋"/>
                <w:snapToGrid/>
                <w:spacing w:val="-20"/>
                <w:kern w:val="0"/>
                <w:sz w:val="28"/>
                <w:szCs w:val="28"/>
                <w:lang w:eastAsia="zh-CN"/>
              </w:rPr>
              <w:t>日期：</w:t>
            </w:r>
          </w:p>
        </w:tc>
      </w:tr>
    </w:tbl>
    <w:p w14:paraId="20011CB0">
      <w:pPr>
        <w:widowControl w:val="0"/>
        <w:kinsoku/>
        <w:autoSpaceDE/>
        <w:autoSpaceDN/>
        <w:adjustRightInd/>
        <w:snapToGrid/>
        <w:spacing w:line="240" w:lineRule="auto"/>
        <w:jc w:val="both"/>
        <w:textAlignment w:val="auto"/>
        <w:rPr>
          <w:rFonts w:hint="eastAsia" w:ascii="仿宋" w:hAnsi="仿宋" w:eastAsia="仿宋" w:cs="仿宋"/>
          <w:snapToGrid/>
          <w:color w:val="000000"/>
          <w:kern w:val="2"/>
          <w:sz w:val="30"/>
          <w:szCs w:val="30"/>
          <w:lang w:eastAsia="zh-CN"/>
        </w:rPr>
      </w:pPr>
    </w:p>
    <w:p w14:paraId="0ABAAA3C">
      <w:pPr>
        <w:rPr>
          <w:rFonts w:hint="eastAsia" w:ascii="仿宋" w:hAnsi="仿宋" w:eastAsia="仿宋" w:cs="仿宋"/>
          <w:b/>
          <w:bCs/>
          <w:snapToGrid/>
          <w:color w:val="000000"/>
          <w:kern w:val="2"/>
          <w:sz w:val="24"/>
          <w:szCs w:val="24"/>
          <w:lang w:eastAsia="zh-CN"/>
        </w:rPr>
      </w:pPr>
      <w:r>
        <w:rPr>
          <w:rFonts w:hint="eastAsia" w:ascii="仿宋" w:hAnsi="仿宋" w:eastAsia="仿宋" w:cs="仿宋"/>
          <w:b/>
          <w:bCs/>
          <w:snapToGrid/>
          <w:color w:val="000000"/>
          <w:kern w:val="2"/>
          <w:sz w:val="24"/>
          <w:szCs w:val="24"/>
          <w:lang w:eastAsia="zh-CN"/>
        </w:rPr>
        <w:br w:type="page"/>
      </w:r>
    </w:p>
    <w:p w14:paraId="1B51EED1">
      <w:pPr>
        <w:widowControl w:val="0"/>
        <w:kinsoku/>
        <w:autoSpaceDE/>
        <w:autoSpaceDN/>
        <w:adjustRightInd/>
        <w:snapToGrid/>
        <w:spacing w:line="240" w:lineRule="auto"/>
        <w:jc w:val="both"/>
        <w:textAlignment w:val="auto"/>
        <w:rPr>
          <w:rFonts w:hint="eastAsia" w:ascii="仿宋" w:hAnsi="仿宋" w:eastAsia="仿宋" w:cs="仿宋"/>
          <w:b/>
          <w:bCs/>
          <w:snapToGrid/>
          <w:color w:val="000000"/>
          <w:kern w:val="2"/>
          <w:sz w:val="28"/>
          <w:szCs w:val="28"/>
          <w:lang w:eastAsia="zh-CN"/>
        </w:rPr>
      </w:pPr>
      <w:r>
        <w:rPr>
          <w:rFonts w:hint="eastAsia" w:ascii="仿宋" w:hAnsi="仿宋" w:eastAsia="仿宋" w:cs="仿宋"/>
          <w:b/>
          <w:bCs/>
          <w:snapToGrid/>
          <w:color w:val="000000"/>
          <w:kern w:val="2"/>
          <w:sz w:val="28"/>
          <w:szCs w:val="28"/>
          <w:lang w:eastAsia="zh-CN"/>
        </w:rPr>
        <w:t>附件：</w:t>
      </w:r>
    </w:p>
    <w:p w14:paraId="4DD3102E">
      <w:pPr>
        <w:widowControl w:val="0"/>
        <w:kinsoku/>
        <w:autoSpaceDE/>
        <w:autoSpaceDN/>
        <w:adjustRightInd/>
        <w:snapToGrid/>
        <w:spacing w:line="240" w:lineRule="auto"/>
        <w:jc w:val="center"/>
        <w:textAlignment w:val="auto"/>
        <w:rPr>
          <w:rFonts w:hint="eastAsia" w:ascii="仿宋" w:hAnsi="仿宋" w:eastAsia="仿宋" w:cs="仿宋"/>
          <w:b/>
          <w:snapToGrid/>
          <w:spacing w:val="-6"/>
          <w:kern w:val="2"/>
          <w:sz w:val="28"/>
          <w:szCs w:val="28"/>
          <w:lang w:eastAsia="zh-CN"/>
        </w:rPr>
      </w:pPr>
      <w:r>
        <w:rPr>
          <w:rFonts w:hint="eastAsia" w:ascii="仿宋" w:hAnsi="仿宋" w:eastAsia="仿宋" w:cs="仿宋"/>
          <w:b/>
          <w:snapToGrid/>
          <w:spacing w:val="-6"/>
          <w:kern w:val="2"/>
          <w:sz w:val="28"/>
          <w:szCs w:val="28"/>
          <w:lang w:eastAsia="zh-CN"/>
        </w:rPr>
        <w:t>西安市城市生命线安全工程综合管廊专项项目技术服务人员名单</w:t>
      </w:r>
    </w:p>
    <w:p w14:paraId="39DEC613">
      <w:pPr>
        <w:widowControl w:val="0"/>
        <w:kinsoku/>
        <w:autoSpaceDE/>
        <w:autoSpaceDN/>
        <w:adjustRightInd/>
        <w:snapToGrid/>
        <w:spacing w:line="240" w:lineRule="auto"/>
        <w:jc w:val="center"/>
        <w:textAlignment w:val="auto"/>
        <w:rPr>
          <w:rFonts w:hint="eastAsia" w:ascii="仿宋" w:hAnsi="仿宋" w:eastAsia="仿宋" w:cs="仿宋"/>
          <w:b/>
          <w:snapToGrid/>
          <w:spacing w:val="-6"/>
          <w:kern w:val="2"/>
          <w:sz w:val="24"/>
          <w:szCs w:val="24"/>
          <w:lang w:eastAsia="zh-CN"/>
        </w:rPr>
      </w:pPr>
    </w:p>
    <w:tbl>
      <w:tblPr>
        <w:tblStyle w:val="13"/>
        <w:tblW w:w="5000"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1704"/>
        <w:gridCol w:w="1704"/>
        <w:gridCol w:w="1704"/>
        <w:gridCol w:w="1704"/>
      </w:tblGrid>
      <w:tr w14:paraId="095A6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0" w:type="pct"/>
            <w:noWrap w:val="0"/>
            <w:vAlign w:val="center"/>
          </w:tcPr>
          <w:p w14:paraId="7A27761E">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姓名</w:t>
            </w:r>
          </w:p>
        </w:tc>
        <w:tc>
          <w:tcPr>
            <w:tcW w:w="999" w:type="pct"/>
            <w:noWrap w:val="0"/>
            <w:vAlign w:val="center"/>
          </w:tcPr>
          <w:p w14:paraId="53D82A3C">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资格/注册证书</w:t>
            </w:r>
          </w:p>
        </w:tc>
        <w:tc>
          <w:tcPr>
            <w:tcW w:w="999" w:type="pct"/>
            <w:noWrap w:val="0"/>
            <w:vAlign w:val="center"/>
          </w:tcPr>
          <w:p w14:paraId="46673E42">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职称</w:t>
            </w:r>
          </w:p>
        </w:tc>
        <w:tc>
          <w:tcPr>
            <w:tcW w:w="999" w:type="pct"/>
            <w:noWrap w:val="0"/>
            <w:vAlign w:val="center"/>
          </w:tcPr>
          <w:p w14:paraId="534A767D">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岗位职责</w:t>
            </w:r>
          </w:p>
        </w:tc>
        <w:tc>
          <w:tcPr>
            <w:tcW w:w="999" w:type="pct"/>
            <w:noWrap w:val="0"/>
            <w:vAlign w:val="center"/>
          </w:tcPr>
          <w:p w14:paraId="6439E369">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备注</w:t>
            </w:r>
          </w:p>
        </w:tc>
      </w:tr>
      <w:tr w14:paraId="4DF78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0" w:type="pct"/>
            <w:noWrap w:val="0"/>
            <w:vAlign w:val="center"/>
          </w:tcPr>
          <w:p w14:paraId="35738B76">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5A85E6E4">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72E0E906">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22279A74">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1D5D795D">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r>
      <w:tr w14:paraId="2BF38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0" w:type="pct"/>
            <w:noWrap w:val="0"/>
            <w:vAlign w:val="center"/>
          </w:tcPr>
          <w:p w14:paraId="495EF5FE">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336D72C7">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52711209">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3CAEEF21">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2075B61B">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r>
      <w:tr w14:paraId="19B06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0" w:type="pct"/>
            <w:noWrap w:val="0"/>
            <w:vAlign w:val="center"/>
          </w:tcPr>
          <w:p w14:paraId="698188CF">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2F0DD9E0">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1086A922">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323DE932">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1AA6C1B0">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r>
      <w:tr w14:paraId="50897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0" w:type="pct"/>
            <w:noWrap w:val="0"/>
            <w:vAlign w:val="center"/>
          </w:tcPr>
          <w:p w14:paraId="351901BF">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250BF613">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3D04ACC3">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31B164C8">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2A8EA3FD">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r>
      <w:tr w14:paraId="7C9DF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0" w:type="pct"/>
            <w:noWrap w:val="0"/>
            <w:vAlign w:val="center"/>
          </w:tcPr>
          <w:p w14:paraId="5B12ED76">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0DB8B7D8">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79608176">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1FF62BC8">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c>
          <w:tcPr>
            <w:tcW w:w="999" w:type="pct"/>
            <w:noWrap w:val="0"/>
            <w:vAlign w:val="center"/>
          </w:tcPr>
          <w:p w14:paraId="79A14B24">
            <w:pPr>
              <w:keepNext w:val="0"/>
              <w:keepLines w:val="0"/>
              <w:widowControl w:val="0"/>
              <w:suppressLineNumbers w:val="0"/>
              <w:snapToGrid w:val="0"/>
              <w:spacing w:before="0" w:beforeAutospacing="0" w:after="0" w:afterAutospacing="0"/>
              <w:ind w:left="0" w:right="0"/>
              <w:jc w:val="center"/>
              <w:rPr>
                <w:rFonts w:hint="eastAsia" w:ascii="仿宋" w:hAnsi="仿宋" w:eastAsia="仿宋" w:cs="仿宋"/>
                <w:kern w:val="2"/>
                <w:sz w:val="28"/>
                <w:szCs w:val="28"/>
                <w:lang w:val="en-US" w:eastAsia="zh-CN" w:bidi="ar-SA"/>
              </w:rPr>
            </w:pPr>
          </w:p>
        </w:tc>
      </w:tr>
    </w:tbl>
    <w:p w14:paraId="2CAAF977">
      <w:pPr>
        <w:pStyle w:val="11"/>
        <w:ind w:left="0" w:leftChars="0" w:firstLine="0" w:firstLineChars="0"/>
        <w:rPr>
          <w:rFonts w:hint="eastAsia" w:ascii="仿宋" w:hAnsi="仿宋" w:eastAsia="仿宋" w:cs="仿宋"/>
        </w:rPr>
      </w:pPr>
    </w:p>
    <w:sectPr>
      <w:footerReference r:id="rId7" w:type="default"/>
      <w:pgSz w:w="11906" w:h="16838"/>
      <w:pgMar w:top="1440" w:right="1800" w:bottom="1440" w:left="1800"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SimSong">
    <w:altName w:val="宋体"/>
    <w:panose1 w:val="02020300000000000000"/>
    <w:charset w:val="86"/>
    <w:family w:val="auto"/>
    <w:pitch w:val="default"/>
    <w:sig w:usb0="00000000" w:usb1="00000000" w:usb2="00000016" w:usb3="00000000" w:csb0="0004000D"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D3A05">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posOffset>5177155</wp:posOffset>
              </wp:positionH>
              <wp:positionV relativeFrom="paragraph">
                <wp:posOffset>-503555</wp:posOffset>
              </wp:positionV>
              <wp:extent cx="590550" cy="57340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90550" cy="573405"/>
                      </a:xfrm>
                      <a:prstGeom prst="rect">
                        <a:avLst/>
                      </a:prstGeom>
                      <a:noFill/>
                      <a:ln>
                        <a:noFill/>
                      </a:ln>
                      <a:effectLst/>
                    </wps:spPr>
                    <wps:txbx>
                      <w:txbxContent>
                        <w:p w14:paraId="64F1A0B4">
                          <w:pPr>
                            <w:widowControl w:val="0"/>
                            <w:snapToGrid w:val="0"/>
                            <w:jc w:val="left"/>
                            <w:rPr>
                              <w:rFonts w:hint="eastAsia" w:ascii="宋体" w:hAnsi="宋体" w:eastAsia="宋体" w:cs="宋体"/>
                              <w:kern w:val="2"/>
                              <w:sz w:val="28"/>
                              <w:szCs w:val="28"/>
                              <w:lang w:val="en-US" w:eastAsia="zh-CN" w:bidi="ar-SA"/>
                            </w:rPr>
                          </w:pPr>
                        </w:p>
                      </w:txbxContent>
                    </wps:txbx>
                    <wps:bodyPr lIns="0" tIns="0" rIns="0" bIns="0" upright="0"/>
                  </wps:wsp>
                </a:graphicData>
              </a:graphic>
            </wp:anchor>
          </w:drawing>
        </mc:Choice>
        <mc:Fallback>
          <w:pict>
            <v:shape id="_x0000_s1026" o:spid="_x0000_s1026" o:spt="202" type="#_x0000_t202" style="position:absolute;left:0pt;margin-left:407.65pt;margin-top:-39.65pt;height:45.15pt;width:46.5pt;mso-position-horizontal-relative:margin;z-index:251659264;mso-width-relative:page;mso-height-relative:page;" filled="f" stroked="f" coordsize="21600,21600" o:gfxdata="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ZbbU2AAAAAoBAAAPAAAAAAAAAAEAIAAAACIAAABkcnMvZG93bnJldi54bWxQ&#10;SwECFAAUAAAACACHTuJA0AxUhL4BAAB/AwAADgAAAAAAAAABACAAAAAnAQAAZHJzL2Uyb0RvYy54&#10;bWxQSwUGAAAAAAYABgBZAQAAVwUAAAAA&#10;">
              <v:fill on="f" focussize="0,0"/>
              <v:stroke on="f"/>
              <v:imagedata o:title=""/>
              <o:lock v:ext="edit" aspectratio="f"/>
              <v:textbox inset="0mm,0mm,0mm,0mm">
                <w:txbxContent>
                  <w:p w14:paraId="64F1A0B4">
                    <w:pPr>
                      <w:widowControl w:val="0"/>
                      <w:snapToGrid w:val="0"/>
                      <w:jc w:val="left"/>
                      <w:rPr>
                        <w:rFonts w:hint="eastAsia" w:ascii="宋体" w:hAnsi="宋体" w:eastAsia="宋体" w:cs="宋体"/>
                        <w:kern w:val="2"/>
                        <w:sz w:val="28"/>
                        <w:szCs w:val="28"/>
                        <w:lang w:val="en-US" w:eastAsia="zh-CN" w:bidi="ar-SA"/>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0FF8A">
    <w:pPr>
      <w:widowControl w:val="0"/>
      <w:snapToGrid w:val="0"/>
      <w:jc w:val="left"/>
      <w:rPr>
        <w:rFonts w:ascii="Calibri" w:hAnsi="Calibri" w:eastAsia="宋体" w:cs="Times New Roman"/>
        <w:kern w:val="2"/>
        <w:sz w:val="18"/>
        <w:szCs w:val="18"/>
        <w:lang w:val="en-US" w:eastAsia="zh-CN" w:bidi="ar-S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ACFC2B">
                          <w:pPr>
                            <w:pStyle w:val="9"/>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AACFC2B">
                    <w:pPr>
                      <w:pStyle w:val="9"/>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E7139">
    <w:pPr>
      <w:spacing w:before="12" w:line="196" w:lineRule="auto"/>
      <w:rPr>
        <w:rFonts w:ascii="宋体" w:hAnsi="宋体" w:eastAsia="宋体" w:cs="宋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FB7A7F"/>
    <w:multiLevelType w:val="singleLevel"/>
    <w:tmpl w:val="D2FB7A7F"/>
    <w:lvl w:ilvl="0" w:tentative="0">
      <w:start w:val="3"/>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2ViYzgzYzQyMGIyYjJjYjcxZTNlYzBlMzBmOWMyM2IifQ=="/>
    <w:docVar w:name="KSO_WPS_MARK_KEY" w:val="4cb4554f-92ed-4c49-874d-920295c38672"/>
  </w:docVars>
  <w:rsids>
    <w:rsidRoot w:val="00000000"/>
    <w:rsid w:val="00417EF4"/>
    <w:rsid w:val="0058523E"/>
    <w:rsid w:val="005D4603"/>
    <w:rsid w:val="00901D05"/>
    <w:rsid w:val="00F02525"/>
    <w:rsid w:val="01B415A5"/>
    <w:rsid w:val="01EE4BDA"/>
    <w:rsid w:val="02033DCA"/>
    <w:rsid w:val="0252745F"/>
    <w:rsid w:val="02851E9C"/>
    <w:rsid w:val="02AF329E"/>
    <w:rsid w:val="02B3532A"/>
    <w:rsid w:val="02B82495"/>
    <w:rsid w:val="02DF29A5"/>
    <w:rsid w:val="02E209F4"/>
    <w:rsid w:val="03130FFF"/>
    <w:rsid w:val="03192A63"/>
    <w:rsid w:val="034824D3"/>
    <w:rsid w:val="0371584F"/>
    <w:rsid w:val="04B63B3E"/>
    <w:rsid w:val="04B94AE2"/>
    <w:rsid w:val="057743B8"/>
    <w:rsid w:val="05AB7BBE"/>
    <w:rsid w:val="06514C09"/>
    <w:rsid w:val="067A4ADB"/>
    <w:rsid w:val="06CD79A1"/>
    <w:rsid w:val="073A744C"/>
    <w:rsid w:val="07BB67DE"/>
    <w:rsid w:val="07C33549"/>
    <w:rsid w:val="07EE6482"/>
    <w:rsid w:val="0808579C"/>
    <w:rsid w:val="088E1943"/>
    <w:rsid w:val="08C6543B"/>
    <w:rsid w:val="08F16406"/>
    <w:rsid w:val="09002BCF"/>
    <w:rsid w:val="090917CB"/>
    <w:rsid w:val="093F343F"/>
    <w:rsid w:val="09DC5F4C"/>
    <w:rsid w:val="0A780FD3"/>
    <w:rsid w:val="0ACA6D38"/>
    <w:rsid w:val="0AED2C3C"/>
    <w:rsid w:val="0B261286"/>
    <w:rsid w:val="0B3C19E4"/>
    <w:rsid w:val="0B6158EF"/>
    <w:rsid w:val="0B8E420A"/>
    <w:rsid w:val="0BB6167C"/>
    <w:rsid w:val="0BC55E7E"/>
    <w:rsid w:val="0BCD088E"/>
    <w:rsid w:val="0C234952"/>
    <w:rsid w:val="0C2475E3"/>
    <w:rsid w:val="0C2623F8"/>
    <w:rsid w:val="0C686809"/>
    <w:rsid w:val="0D0C6C6B"/>
    <w:rsid w:val="0D3704F7"/>
    <w:rsid w:val="0D8F0AE7"/>
    <w:rsid w:val="0DA009B0"/>
    <w:rsid w:val="0DB13833"/>
    <w:rsid w:val="0DB77176"/>
    <w:rsid w:val="0DBF455A"/>
    <w:rsid w:val="0E4C708F"/>
    <w:rsid w:val="0E75479D"/>
    <w:rsid w:val="0EE52393"/>
    <w:rsid w:val="0EFC3F54"/>
    <w:rsid w:val="0F5743B3"/>
    <w:rsid w:val="1003403F"/>
    <w:rsid w:val="102430E3"/>
    <w:rsid w:val="10D12BCF"/>
    <w:rsid w:val="10D4204A"/>
    <w:rsid w:val="10F60887"/>
    <w:rsid w:val="112E0021"/>
    <w:rsid w:val="115B2DE0"/>
    <w:rsid w:val="118E6D12"/>
    <w:rsid w:val="11F052D6"/>
    <w:rsid w:val="121D1E44"/>
    <w:rsid w:val="12352A26"/>
    <w:rsid w:val="123E24E6"/>
    <w:rsid w:val="12525F91"/>
    <w:rsid w:val="126D3C74"/>
    <w:rsid w:val="129569F8"/>
    <w:rsid w:val="139919B3"/>
    <w:rsid w:val="13D54EFC"/>
    <w:rsid w:val="13E946D3"/>
    <w:rsid w:val="13EE3A98"/>
    <w:rsid w:val="1404150D"/>
    <w:rsid w:val="145621F4"/>
    <w:rsid w:val="14872D02"/>
    <w:rsid w:val="14922675"/>
    <w:rsid w:val="149F6882"/>
    <w:rsid w:val="152A410D"/>
    <w:rsid w:val="154D29D4"/>
    <w:rsid w:val="15932AFA"/>
    <w:rsid w:val="15932B49"/>
    <w:rsid w:val="15EA64E1"/>
    <w:rsid w:val="162478EF"/>
    <w:rsid w:val="16C17D6C"/>
    <w:rsid w:val="171B557D"/>
    <w:rsid w:val="17343EB7"/>
    <w:rsid w:val="17936E30"/>
    <w:rsid w:val="18002740"/>
    <w:rsid w:val="1820443C"/>
    <w:rsid w:val="18277578"/>
    <w:rsid w:val="187D2982"/>
    <w:rsid w:val="18922CBE"/>
    <w:rsid w:val="18F602DF"/>
    <w:rsid w:val="190909AF"/>
    <w:rsid w:val="193326FD"/>
    <w:rsid w:val="1941466A"/>
    <w:rsid w:val="19701758"/>
    <w:rsid w:val="19A2409B"/>
    <w:rsid w:val="19B061D7"/>
    <w:rsid w:val="19C40040"/>
    <w:rsid w:val="19C71013"/>
    <w:rsid w:val="1A134F38"/>
    <w:rsid w:val="1A345F7C"/>
    <w:rsid w:val="1A3F58F9"/>
    <w:rsid w:val="1AEA2461"/>
    <w:rsid w:val="1B041DF3"/>
    <w:rsid w:val="1B1B306B"/>
    <w:rsid w:val="1B462E07"/>
    <w:rsid w:val="1B6455A3"/>
    <w:rsid w:val="1B7A3E63"/>
    <w:rsid w:val="1B7C407F"/>
    <w:rsid w:val="1B7C704E"/>
    <w:rsid w:val="1C106415"/>
    <w:rsid w:val="1C4A22BA"/>
    <w:rsid w:val="1C5B5A42"/>
    <w:rsid w:val="1C634B6E"/>
    <w:rsid w:val="1C9A338A"/>
    <w:rsid w:val="1D0D1432"/>
    <w:rsid w:val="1D0F1DAA"/>
    <w:rsid w:val="1D1A3FC5"/>
    <w:rsid w:val="1D937669"/>
    <w:rsid w:val="1E2C7696"/>
    <w:rsid w:val="1E841CFD"/>
    <w:rsid w:val="1E864621"/>
    <w:rsid w:val="1EB02141"/>
    <w:rsid w:val="1EBE6F18"/>
    <w:rsid w:val="1EE53CE9"/>
    <w:rsid w:val="1F105BB3"/>
    <w:rsid w:val="1F537BAB"/>
    <w:rsid w:val="1F5E0ACE"/>
    <w:rsid w:val="1F647304"/>
    <w:rsid w:val="20091E0C"/>
    <w:rsid w:val="2072115A"/>
    <w:rsid w:val="207500F4"/>
    <w:rsid w:val="208128F0"/>
    <w:rsid w:val="20A436F6"/>
    <w:rsid w:val="20ED4838"/>
    <w:rsid w:val="20FE42D5"/>
    <w:rsid w:val="21120767"/>
    <w:rsid w:val="213F1C3D"/>
    <w:rsid w:val="215A276C"/>
    <w:rsid w:val="21FE57EE"/>
    <w:rsid w:val="22056B7C"/>
    <w:rsid w:val="22081949"/>
    <w:rsid w:val="225D0766"/>
    <w:rsid w:val="229A1106"/>
    <w:rsid w:val="22CA5FBD"/>
    <w:rsid w:val="231E08D1"/>
    <w:rsid w:val="239D6975"/>
    <w:rsid w:val="23C60E74"/>
    <w:rsid w:val="23CD2672"/>
    <w:rsid w:val="24594F5D"/>
    <w:rsid w:val="24B43DD5"/>
    <w:rsid w:val="24C513B8"/>
    <w:rsid w:val="25145328"/>
    <w:rsid w:val="251C3122"/>
    <w:rsid w:val="258D0CC9"/>
    <w:rsid w:val="259F1D5A"/>
    <w:rsid w:val="25AB0E64"/>
    <w:rsid w:val="25C34D40"/>
    <w:rsid w:val="267E514F"/>
    <w:rsid w:val="268247BC"/>
    <w:rsid w:val="26CD39E1"/>
    <w:rsid w:val="26E054C2"/>
    <w:rsid w:val="27073F71"/>
    <w:rsid w:val="27BB1385"/>
    <w:rsid w:val="27BF3F2A"/>
    <w:rsid w:val="27E5752B"/>
    <w:rsid w:val="27EB6223"/>
    <w:rsid w:val="28192B50"/>
    <w:rsid w:val="28296441"/>
    <w:rsid w:val="283C77D9"/>
    <w:rsid w:val="28600077"/>
    <w:rsid w:val="289C7B0E"/>
    <w:rsid w:val="28BA534D"/>
    <w:rsid w:val="28D23530"/>
    <w:rsid w:val="29380100"/>
    <w:rsid w:val="29CA4EF2"/>
    <w:rsid w:val="29F11AD6"/>
    <w:rsid w:val="2A3C6EB3"/>
    <w:rsid w:val="2A5C36BF"/>
    <w:rsid w:val="2A7D74CC"/>
    <w:rsid w:val="2AB32EED"/>
    <w:rsid w:val="2AE124D7"/>
    <w:rsid w:val="2AFC2DC0"/>
    <w:rsid w:val="2AFE2584"/>
    <w:rsid w:val="2B1E737A"/>
    <w:rsid w:val="2B3F2191"/>
    <w:rsid w:val="2B595843"/>
    <w:rsid w:val="2B691DC8"/>
    <w:rsid w:val="2B834144"/>
    <w:rsid w:val="2BE8029E"/>
    <w:rsid w:val="2C091017"/>
    <w:rsid w:val="2C130885"/>
    <w:rsid w:val="2C42277B"/>
    <w:rsid w:val="2C464019"/>
    <w:rsid w:val="2C490742"/>
    <w:rsid w:val="2C4E0713"/>
    <w:rsid w:val="2C8C2652"/>
    <w:rsid w:val="2CC80066"/>
    <w:rsid w:val="2CF40CE2"/>
    <w:rsid w:val="2D4B3B6D"/>
    <w:rsid w:val="2D605BFF"/>
    <w:rsid w:val="2DC062D6"/>
    <w:rsid w:val="2DD107CD"/>
    <w:rsid w:val="2DDC4BB8"/>
    <w:rsid w:val="2DFE7E03"/>
    <w:rsid w:val="2E287D37"/>
    <w:rsid w:val="2ED35FEE"/>
    <w:rsid w:val="2F4B1A7D"/>
    <w:rsid w:val="2F4F2EEB"/>
    <w:rsid w:val="2F745081"/>
    <w:rsid w:val="2F827DCD"/>
    <w:rsid w:val="2FDB5564"/>
    <w:rsid w:val="2FF63A03"/>
    <w:rsid w:val="2FF817EF"/>
    <w:rsid w:val="301917A7"/>
    <w:rsid w:val="302802A3"/>
    <w:rsid w:val="303947E6"/>
    <w:rsid w:val="30481923"/>
    <w:rsid w:val="30C23E8A"/>
    <w:rsid w:val="31012C04"/>
    <w:rsid w:val="31550DA9"/>
    <w:rsid w:val="318F1FBE"/>
    <w:rsid w:val="31905D36"/>
    <w:rsid w:val="319B6BB5"/>
    <w:rsid w:val="31EA698A"/>
    <w:rsid w:val="31F2254D"/>
    <w:rsid w:val="32002EBC"/>
    <w:rsid w:val="32075FF9"/>
    <w:rsid w:val="32472899"/>
    <w:rsid w:val="3264344B"/>
    <w:rsid w:val="32B1259E"/>
    <w:rsid w:val="32E4458C"/>
    <w:rsid w:val="3333770A"/>
    <w:rsid w:val="33754BBB"/>
    <w:rsid w:val="33835B53"/>
    <w:rsid w:val="33865643"/>
    <w:rsid w:val="33977850"/>
    <w:rsid w:val="339C09C3"/>
    <w:rsid w:val="34253971"/>
    <w:rsid w:val="346E3463"/>
    <w:rsid w:val="348C6C89"/>
    <w:rsid w:val="349124F1"/>
    <w:rsid w:val="34A22009"/>
    <w:rsid w:val="34AC5BA3"/>
    <w:rsid w:val="34EB64D5"/>
    <w:rsid w:val="357F67EE"/>
    <w:rsid w:val="35960D13"/>
    <w:rsid w:val="35A77DEC"/>
    <w:rsid w:val="35B55703"/>
    <w:rsid w:val="35F9034E"/>
    <w:rsid w:val="360867E3"/>
    <w:rsid w:val="36541A28"/>
    <w:rsid w:val="365D0BBE"/>
    <w:rsid w:val="36624145"/>
    <w:rsid w:val="374D4675"/>
    <w:rsid w:val="37781747"/>
    <w:rsid w:val="379245B6"/>
    <w:rsid w:val="37A20571"/>
    <w:rsid w:val="37CE3417"/>
    <w:rsid w:val="37DE04B1"/>
    <w:rsid w:val="38144D5A"/>
    <w:rsid w:val="38266A45"/>
    <w:rsid w:val="38811DD5"/>
    <w:rsid w:val="38855ECC"/>
    <w:rsid w:val="388A7983"/>
    <w:rsid w:val="38B20BCF"/>
    <w:rsid w:val="38BB1228"/>
    <w:rsid w:val="394C2E8B"/>
    <w:rsid w:val="396E2E01"/>
    <w:rsid w:val="39842625"/>
    <w:rsid w:val="39C72511"/>
    <w:rsid w:val="39E62997"/>
    <w:rsid w:val="3A0D261A"/>
    <w:rsid w:val="3A526C0C"/>
    <w:rsid w:val="3A5D4254"/>
    <w:rsid w:val="3A7461F5"/>
    <w:rsid w:val="3A94460B"/>
    <w:rsid w:val="3AC54CA3"/>
    <w:rsid w:val="3B091033"/>
    <w:rsid w:val="3B157949"/>
    <w:rsid w:val="3B1E53B3"/>
    <w:rsid w:val="3B994B8C"/>
    <w:rsid w:val="3BA01AA3"/>
    <w:rsid w:val="3C390C6E"/>
    <w:rsid w:val="3C862210"/>
    <w:rsid w:val="3CCB40C7"/>
    <w:rsid w:val="3CCE00C3"/>
    <w:rsid w:val="3D290A1D"/>
    <w:rsid w:val="3E083D5E"/>
    <w:rsid w:val="3E584D59"/>
    <w:rsid w:val="3EA37093"/>
    <w:rsid w:val="3ED5122D"/>
    <w:rsid w:val="3EDF4C1B"/>
    <w:rsid w:val="3EF63FC3"/>
    <w:rsid w:val="3F423538"/>
    <w:rsid w:val="3F7F7B16"/>
    <w:rsid w:val="3FC80FB3"/>
    <w:rsid w:val="402828F4"/>
    <w:rsid w:val="404303D8"/>
    <w:rsid w:val="40446788"/>
    <w:rsid w:val="40664832"/>
    <w:rsid w:val="40A24EE0"/>
    <w:rsid w:val="40CF0629"/>
    <w:rsid w:val="414F32AB"/>
    <w:rsid w:val="41DF2AEE"/>
    <w:rsid w:val="42497F67"/>
    <w:rsid w:val="425608D6"/>
    <w:rsid w:val="42660676"/>
    <w:rsid w:val="426A215E"/>
    <w:rsid w:val="429F140E"/>
    <w:rsid w:val="429F1469"/>
    <w:rsid w:val="430976F7"/>
    <w:rsid w:val="43235158"/>
    <w:rsid w:val="43346E69"/>
    <w:rsid w:val="43C81360"/>
    <w:rsid w:val="446D0585"/>
    <w:rsid w:val="449C6B56"/>
    <w:rsid w:val="44DF0F43"/>
    <w:rsid w:val="452B0F7B"/>
    <w:rsid w:val="456B28EB"/>
    <w:rsid w:val="45C347B8"/>
    <w:rsid w:val="45C97502"/>
    <w:rsid w:val="465B7E10"/>
    <w:rsid w:val="466D7AE1"/>
    <w:rsid w:val="466E26B2"/>
    <w:rsid w:val="46700727"/>
    <w:rsid w:val="46733CB9"/>
    <w:rsid w:val="468A0B4E"/>
    <w:rsid w:val="46B76384"/>
    <w:rsid w:val="46FC1A4C"/>
    <w:rsid w:val="4707219F"/>
    <w:rsid w:val="47354F5E"/>
    <w:rsid w:val="474F2687"/>
    <w:rsid w:val="4755115C"/>
    <w:rsid w:val="47A7193F"/>
    <w:rsid w:val="47A8634D"/>
    <w:rsid w:val="48050DD4"/>
    <w:rsid w:val="480B62E7"/>
    <w:rsid w:val="485B45AB"/>
    <w:rsid w:val="4882590A"/>
    <w:rsid w:val="48BB1A0F"/>
    <w:rsid w:val="48D82045"/>
    <w:rsid w:val="49343616"/>
    <w:rsid w:val="493F3E51"/>
    <w:rsid w:val="496760B0"/>
    <w:rsid w:val="496D1222"/>
    <w:rsid w:val="499F2B63"/>
    <w:rsid w:val="4A174947"/>
    <w:rsid w:val="4A3D4856"/>
    <w:rsid w:val="4A407EA2"/>
    <w:rsid w:val="4ADD7DE7"/>
    <w:rsid w:val="4BBA394F"/>
    <w:rsid w:val="4BCE2302"/>
    <w:rsid w:val="4BE1202D"/>
    <w:rsid w:val="4BE24978"/>
    <w:rsid w:val="4C5639AD"/>
    <w:rsid w:val="4C9414B3"/>
    <w:rsid w:val="4D0C03F4"/>
    <w:rsid w:val="4D3D4B6D"/>
    <w:rsid w:val="4D414F9D"/>
    <w:rsid w:val="4D497020"/>
    <w:rsid w:val="4DAB63B1"/>
    <w:rsid w:val="4DB444EC"/>
    <w:rsid w:val="4DCA3D56"/>
    <w:rsid w:val="4DD35CE5"/>
    <w:rsid w:val="4DEF40B9"/>
    <w:rsid w:val="4E0B7D29"/>
    <w:rsid w:val="4F83534C"/>
    <w:rsid w:val="4F846A83"/>
    <w:rsid w:val="4FA233AD"/>
    <w:rsid w:val="50254170"/>
    <w:rsid w:val="503469BD"/>
    <w:rsid w:val="50960C3F"/>
    <w:rsid w:val="50A82C45"/>
    <w:rsid w:val="50AA3F1E"/>
    <w:rsid w:val="50CB39DE"/>
    <w:rsid w:val="50DD1B6F"/>
    <w:rsid w:val="51081D48"/>
    <w:rsid w:val="514069D9"/>
    <w:rsid w:val="517A638F"/>
    <w:rsid w:val="51A0001C"/>
    <w:rsid w:val="51D57A6A"/>
    <w:rsid w:val="520B5239"/>
    <w:rsid w:val="529C47FE"/>
    <w:rsid w:val="53BE6C28"/>
    <w:rsid w:val="53DA642A"/>
    <w:rsid w:val="53E85AB9"/>
    <w:rsid w:val="54424EA8"/>
    <w:rsid w:val="54615FF5"/>
    <w:rsid w:val="548A4B3B"/>
    <w:rsid w:val="548F5AE3"/>
    <w:rsid w:val="549239F0"/>
    <w:rsid w:val="54BB2F47"/>
    <w:rsid w:val="556E4C02"/>
    <w:rsid w:val="558E065B"/>
    <w:rsid w:val="55A06976"/>
    <w:rsid w:val="55A34781"/>
    <w:rsid w:val="55A61A15"/>
    <w:rsid w:val="55D87B28"/>
    <w:rsid w:val="55ED53A9"/>
    <w:rsid w:val="56384123"/>
    <w:rsid w:val="56F97D56"/>
    <w:rsid w:val="570416D6"/>
    <w:rsid w:val="5705494D"/>
    <w:rsid w:val="57075F2D"/>
    <w:rsid w:val="57A8352A"/>
    <w:rsid w:val="58044C05"/>
    <w:rsid w:val="58133F05"/>
    <w:rsid w:val="58B9588A"/>
    <w:rsid w:val="591D2680"/>
    <w:rsid w:val="59814033"/>
    <w:rsid w:val="598476A5"/>
    <w:rsid w:val="59926B38"/>
    <w:rsid w:val="59B144D1"/>
    <w:rsid w:val="59BA483A"/>
    <w:rsid w:val="5A1D3E5E"/>
    <w:rsid w:val="5A2E48FE"/>
    <w:rsid w:val="5A4D5A7E"/>
    <w:rsid w:val="5A5D31A1"/>
    <w:rsid w:val="5A696FA1"/>
    <w:rsid w:val="5B17576C"/>
    <w:rsid w:val="5B4311B8"/>
    <w:rsid w:val="5B4D241F"/>
    <w:rsid w:val="5B501F0F"/>
    <w:rsid w:val="5BB15110"/>
    <w:rsid w:val="5BB662E7"/>
    <w:rsid w:val="5BD01D6E"/>
    <w:rsid w:val="5BD26DC8"/>
    <w:rsid w:val="5C152FBF"/>
    <w:rsid w:val="5CAE553B"/>
    <w:rsid w:val="5D027152"/>
    <w:rsid w:val="5D4D335C"/>
    <w:rsid w:val="5D517047"/>
    <w:rsid w:val="5D616655"/>
    <w:rsid w:val="5D714325"/>
    <w:rsid w:val="5DAF1585"/>
    <w:rsid w:val="5E0940B0"/>
    <w:rsid w:val="5E722763"/>
    <w:rsid w:val="5E7C11F1"/>
    <w:rsid w:val="5EB17168"/>
    <w:rsid w:val="5EE00397"/>
    <w:rsid w:val="5F04585D"/>
    <w:rsid w:val="5F200A95"/>
    <w:rsid w:val="5F3E31FA"/>
    <w:rsid w:val="5F426012"/>
    <w:rsid w:val="5FB24E88"/>
    <w:rsid w:val="5FC52828"/>
    <w:rsid w:val="5FD87175"/>
    <w:rsid w:val="6070184B"/>
    <w:rsid w:val="60730B79"/>
    <w:rsid w:val="608F34D9"/>
    <w:rsid w:val="609B59DA"/>
    <w:rsid w:val="60A42373"/>
    <w:rsid w:val="60B371C8"/>
    <w:rsid w:val="61222A7F"/>
    <w:rsid w:val="616606D1"/>
    <w:rsid w:val="61A25613"/>
    <w:rsid w:val="623635D9"/>
    <w:rsid w:val="62D02854"/>
    <w:rsid w:val="62D3550A"/>
    <w:rsid w:val="62E02630"/>
    <w:rsid w:val="63F75454"/>
    <w:rsid w:val="63FC0431"/>
    <w:rsid w:val="642973C1"/>
    <w:rsid w:val="64487C27"/>
    <w:rsid w:val="64704AC0"/>
    <w:rsid w:val="6477675E"/>
    <w:rsid w:val="647C6100"/>
    <w:rsid w:val="64A776FA"/>
    <w:rsid w:val="65247FC4"/>
    <w:rsid w:val="65261C89"/>
    <w:rsid w:val="65A86A43"/>
    <w:rsid w:val="65C23C54"/>
    <w:rsid w:val="65FD3E97"/>
    <w:rsid w:val="667E2026"/>
    <w:rsid w:val="669D0EBD"/>
    <w:rsid w:val="66C67529"/>
    <w:rsid w:val="66DD085E"/>
    <w:rsid w:val="67047E1A"/>
    <w:rsid w:val="67241800"/>
    <w:rsid w:val="67264120"/>
    <w:rsid w:val="673C44D9"/>
    <w:rsid w:val="675909DB"/>
    <w:rsid w:val="679C4231"/>
    <w:rsid w:val="680622D3"/>
    <w:rsid w:val="68C33D20"/>
    <w:rsid w:val="68CB5D08"/>
    <w:rsid w:val="68D208BD"/>
    <w:rsid w:val="691B4A60"/>
    <w:rsid w:val="694E7DAA"/>
    <w:rsid w:val="6954706E"/>
    <w:rsid w:val="69A004FC"/>
    <w:rsid w:val="69A91168"/>
    <w:rsid w:val="6A6D6639"/>
    <w:rsid w:val="6A973F27"/>
    <w:rsid w:val="6AAF510F"/>
    <w:rsid w:val="6B216435"/>
    <w:rsid w:val="6B7B4D37"/>
    <w:rsid w:val="6BD13B03"/>
    <w:rsid w:val="6BD75A46"/>
    <w:rsid w:val="6BF345D2"/>
    <w:rsid w:val="6C4F037B"/>
    <w:rsid w:val="6C5C5C0D"/>
    <w:rsid w:val="6C89301F"/>
    <w:rsid w:val="6D346605"/>
    <w:rsid w:val="6D4E44B1"/>
    <w:rsid w:val="6D7A480C"/>
    <w:rsid w:val="6D7B106D"/>
    <w:rsid w:val="6D9C0EEE"/>
    <w:rsid w:val="6DB85E1E"/>
    <w:rsid w:val="6E0A2142"/>
    <w:rsid w:val="6E3F7222"/>
    <w:rsid w:val="6E934195"/>
    <w:rsid w:val="6ECE1671"/>
    <w:rsid w:val="6F332872"/>
    <w:rsid w:val="6F8A0BAA"/>
    <w:rsid w:val="6FA348AB"/>
    <w:rsid w:val="6FA841C0"/>
    <w:rsid w:val="6FBC3668"/>
    <w:rsid w:val="6FCA62DC"/>
    <w:rsid w:val="6FEE1FCA"/>
    <w:rsid w:val="6FF13AC9"/>
    <w:rsid w:val="70981F36"/>
    <w:rsid w:val="70C0548D"/>
    <w:rsid w:val="70DE2274"/>
    <w:rsid w:val="70FE623D"/>
    <w:rsid w:val="71297032"/>
    <w:rsid w:val="720676AD"/>
    <w:rsid w:val="72841E0A"/>
    <w:rsid w:val="72C24699"/>
    <w:rsid w:val="73012015"/>
    <w:rsid w:val="73404336"/>
    <w:rsid w:val="73530005"/>
    <w:rsid w:val="737C0BDA"/>
    <w:rsid w:val="7433708E"/>
    <w:rsid w:val="747C3044"/>
    <w:rsid w:val="74CA631E"/>
    <w:rsid w:val="754E07C3"/>
    <w:rsid w:val="756602B2"/>
    <w:rsid w:val="75882579"/>
    <w:rsid w:val="75D7232A"/>
    <w:rsid w:val="76982C90"/>
    <w:rsid w:val="76AB6E17"/>
    <w:rsid w:val="76AE4262"/>
    <w:rsid w:val="76D13197"/>
    <w:rsid w:val="76D55DA7"/>
    <w:rsid w:val="76E25CB9"/>
    <w:rsid w:val="76FC2A0E"/>
    <w:rsid w:val="77080370"/>
    <w:rsid w:val="77AC443F"/>
    <w:rsid w:val="77C01188"/>
    <w:rsid w:val="77CB4ADD"/>
    <w:rsid w:val="780103C1"/>
    <w:rsid w:val="786A6010"/>
    <w:rsid w:val="786C7AE8"/>
    <w:rsid w:val="78793A13"/>
    <w:rsid w:val="788F3C1F"/>
    <w:rsid w:val="788F6084"/>
    <w:rsid w:val="78BF3753"/>
    <w:rsid w:val="78EC3EB0"/>
    <w:rsid w:val="794437B1"/>
    <w:rsid w:val="79CD2C51"/>
    <w:rsid w:val="79F91C98"/>
    <w:rsid w:val="7A256345"/>
    <w:rsid w:val="7A3251AA"/>
    <w:rsid w:val="7A6C09DE"/>
    <w:rsid w:val="7A8B0CAC"/>
    <w:rsid w:val="7AE53FCA"/>
    <w:rsid w:val="7AE94C3B"/>
    <w:rsid w:val="7B366F41"/>
    <w:rsid w:val="7B3D26B2"/>
    <w:rsid w:val="7B72B309"/>
    <w:rsid w:val="7BDB246C"/>
    <w:rsid w:val="7CE43A4E"/>
    <w:rsid w:val="7D074CD4"/>
    <w:rsid w:val="7D0E2473"/>
    <w:rsid w:val="7D822167"/>
    <w:rsid w:val="7D984540"/>
    <w:rsid w:val="7DA37E53"/>
    <w:rsid w:val="7DEE010D"/>
    <w:rsid w:val="7E9B65C0"/>
    <w:rsid w:val="7EAA22BC"/>
    <w:rsid w:val="7EDE76AE"/>
    <w:rsid w:val="7F1E5ED3"/>
    <w:rsid w:val="7F4774EC"/>
    <w:rsid w:val="7F5C4F75"/>
    <w:rsid w:val="7F643C19"/>
    <w:rsid w:val="F74FF373"/>
    <w:rsid w:val="FE6FF4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22"/>
    <w:qFormat/>
    <w:uiPriority w:val="0"/>
    <w:pPr>
      <w:keepNext/>
      <w:keepLines/>
      <w:spacing w:before="10" w:after="10"/>
      <w:jc w:val="center"/>
      <w:outlineLvl w:val="0"/>
    </w:pPr>
    <w:rPr>
      <w:b/>
      <w:bCs/>
      <w:kern w:val="44"/>
      <w:sz w:val="32"/>
      <w:szCs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华文仿宋"/>
      <w:b/>
      <w:sz w:val="36"/>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rFonts w:eastAsia="SimSong"/>
      <w:b/>
      <w:sz w:val="30"/>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SimSong"/>
      <w:b/>
    </w:rPr>
  </w:style>
  <w:style w:type="character" w:default="1" w:styleId="14">
    <w:name w:val="Default Paragraph Font"/>
    <w:semiHidden/>
    <w:qFormat/>
    <w:uiPriority w:val="0"/>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1"/>
    <w:semiHidden/>
    <w:qFormat/>
    <w:uiPriority w:val="0"/>
    <w:rPr>
      <w:rFonts w:ascii="宋体" w:hAnsi="宋体" w:eastAsia="宋体" w:cs="宋体"/>
      <w:sz w:val="19"/>
      <w:szCs w:val="19"/>
      <w:lang w:val="en-US" w:eastAsia="en-US" w:bidi="ar-SA"/>
    </w:rPr>
  </w:style>
  <w:style w:type="paragraph" w:styleId="8">
    <w:name w:val="Body Text Indent"/>
    <w:qFormat/>
    <w:uiPriority w:val="0"/>
    <w:pPr>
      <w:widowControl w:val="0"/>
      <w:spacing w:line="360" w:lineRule="auto"/>
      <w:ind w:left="265" w:leftChars="126" w:firstLine="1"/>
      <w:jc w:val="both"/>
    </w:pPr>
    <w:rPr>
      <w:rFonts w:ascii="Calibri" w:hAnsi="Calibri" w:eastAsia="宋体" w:cs="Times New Roman"/>
      <w:kern w:val="2"/>
      <w:sz w:val="24"/>
      <w:lang w:val="en-US" w:eastAsia="zh-CN" w:bidi="ar-SA"/>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w:qFormat/>
    <w:uiPriority w:val="0"/>
    <w:pPr>
      <w:widowControl/>
      <w:spacing w:before="180" w:after="120"/>
      <w:ind w:firstLine="420" w:firstLineChars="100"/>
      <w:jc w:val="both"/>
    </w:pPr>
    <w:rPr>
      <w:rFonts w:ascii="Calibri" w:hAnsi="Calibri" w:eastAsia="宋体" w:cs="Times New Roman"/>
      <w:kern w:val="0"/>
      <w:sz w:val="24"/>
      <w:szCs w:val="20"/>
      <w:lang w:val="en-US" w:eastAsia="en-US" w:bidi="ar-SA"/>
    </w:rPr>
  </w:style>
  <w:style w:type="paragraph" w:styleId="12">
    <w:name w:val="Body Text First Indent 2"/>
    <w:next w:val="1"/>
    <w:qFormat/>
    <w:uiPriority w:val="0"/>
    <w:pPr>
      <w:widowControl w:val="0"/>
      <w:spacing w:line="360" w:lineRule="auto"/>
      <w:ind w:left="0" w:leftChars="0" w:firstLine="883" w:firstLineChars="200"/>
      <w:jc w:val="both"/>
    </w:pPr>
    <w:rPr>
      <w:rFonts w:ascii="Calibri" w:hAnsi="Calibri" w:eastAsia="宋体" w:cs="Times New Roman"/>
      <w:kern w:val="2"/>
      <w:sz w:val="24"/>
      <w:szCs w:val="28"/>
      <w:lang w:val="en-US" w:eastAsia="zh-CN" w:bidi="ar-SA"/>
    </w:rPr>
  </w:style>
  <w:style w:type="character" w:styleId="15">
    <w:name w:val="Strong"/>
    <w:basedOn w:val="14"/>
    <w:qFormat/>
    <w:uiPriority w:val="0"/>
    <w:rPr>
      <w:b/>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Table Text"/>
    <w:basedOn w:val="1"/>
    <w:semiHidden/>
    <w:qFormat/>
    <w:uiPriority w:val="0"/>
    <w:rPr>
      <w:rFonts w:ascii="宋体" w:hAnsi="宋体" w:eastAsia="宋体" w:cs="宋体"/>
      <w:sz w:val="19"/>
      <w:szCs w:val="19"/>
      <w:lang w:val="en-US" w:eastAsia="en-US" w:bidi="ar-SA"/>
    </w:rPr>
  </w:style>
  <w:style w:type="paragraph" w:customStyle="1" w:styleId="18">
    <w:name w:val="标题 41"/>
    <w:basedOn w:val="1"/>
    <w:qFormat/>
    <w:uiPriority w:val="1"/>
    <w:pPr>
      <w:ind w:left="1745"/>
      <w:jc w:val="left"/>
      <w:outlineLvl w:val="4"/>
    </w:pPr>
    <w:rPr>
      <w:rFonts w:ascii="宋体" w:hAnsi="宋体" w:eastAsia="宋体"/>
      <w:kern w:val="0"/>
      <w:sz w:val="26"/>
      <w:szCs w:val="26"/>
      <w:lang w:eastAsia="en-US"/>
    </w:rPr>
  </w:style>
  <w:style w:type="paragraph" w:customStyle="1" w:styleId="19">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0">
    <w:name w:val="标题 31"/>
    <w:basedOn w:val="1"/>
    <w:qFormat/>
    <w:uiPriority w:val="1"/>
    <w:pPr>
      <w:ind w:left="1736"/>
      <w:jc w:val="left"/>
      <w:outlineLvl w:val="3"/>
    </w:pPr>
    <w:rPr>
      <w:rFonts w:ascii="宋体" w:hAnsi="宋体" w:eastAsia="宋体"/>
      <w:kern w:val="0"/>
      <w:sz w:val="27"/>
      <w:szCs w:val="27"/>
      <w:lang w:eastAsia="en-US"/>
    </w:r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character" w:customStyle="1" w:styleId="22">
    <w:name w:val="标题 1 Char"/>
    <w:basedOn w:val="14"/>
    <w:link w:val="2"/>
    <w:qFormat/>
    <w:uiPriority w:val="0"/>
    <w:rPr>
      <w:b/>
      <w:bCs/>
      <w:kern w:val="44"/>
      <w:sz w:val="32"/>
      <w:szCs w:val="44"/>
    </w:rPr>
  </w:style>
  <w:style w:type="character" w:customStyle="1" w:styleId="23">
    <w:name w:val="NormalCharacter"/>
    <w:semiHidden/>
    <w:qFormat/>
    <w:uiPriority w:val="0"/>
    <w:rPr>
      <w:sz w:val="24"/>
      <w:szCs w:val="24"/>
    </w:rPr>
  </w:style>
  <w:style w:type="paragraph" w:customStyle="1" w:styleId="24">
    <w:name w:val="正文文本1"/>
    <w:basedOn w:val="1"/>
    <w:qFormat/>
    <w:uiPriority w:val="0"/>
    <w:pPr>
      <w:spacing w:after="130" w:line="324" w:lineRule="auto"/>
      <w:ind w:firstLine="400"/>
      <w:jc w:val="left"/>
    </w:pPr>
    <w:rPr>
      <w:rFonts w:ascii="宋体" w:hAnsi="宋体" w:cs="宋体"/>
      <w:color w:val="E47A6E"/>
      <w:sz w:val="20"/>
      <w:szCs w:val="20"/>
      <w:lang w:val="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384</Words>
  <Characters>392</Characters>
  <TotalTime>0</TotalTime>
  <ScaleCrop>false</ScaleCrop>
  <LinksUpToDate>false</LinksUpToDate>
  <CharactersWithSpaces>578</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2024-02-05T12:06:00Z</dcterms:created>
  <dc:creator>招标</dc:creator>
  <cp:lastModifiedBy>77</cp:lastModifiedBy>
  <cp:lastPrinted>2025-04-25T07:52:00Z</cp:lastPrinted>
  <dcterms:modified xsi:type="dcterms:W3CDTF">2025-12-12T07:22:57Z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2024-04-07T17:09:49Z</vt:filetime>
  </property>
  <property fmtid="{D5CDD505-2E9C-101B-9397-08002B2CF9AE}" pid="4" name="KSOProductBuildVer">
    <vt:lpwstr>2052-12.1.0.24034</vt:lpwstr>
  </property>
  <property fmtid="{D5CDD505-2E9C-101B-9397-08002B2CF9AE}" pid="5" name="ICV">
    <vt:lpwstr>A53C8EF532C04C5589AE434FA90B6CB6_13</vt:lpwstr>
  </property>
  <property fmtid="{D5CDD505-2E9C-101B-9397-08002B2CF9AE}" pid="6" name="KSOTemplateDocerSaveRecord">
    <vt:lpwstr>eyJoZGlkIjoiN2ViYzgzYzQyMGIyYjJjYjcxZTNlYzBlMzBmOWMyM2IiLCJ1c2VySWQiOiIzNjkxNTMwMTkifQ==</vt:lpwstr>
  </property>
</Properties>
</file>