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版本号：SCZD2025-CS-2838-00120251215001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210国道西安过境公路工程浐河大桥对常家湾水文站监测影响评价报告</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SCZD2025-CS-2838-001</w:t>
      </w:r>
      <w:r>
        <w:br/>
      </w:r>
      <w:r>
        <w:br/>
      </w:r>
      <w:r>
        <w:br/>
      </w:r>
    </w:p>
    <w:p>
      <w:pPr>
        <w:pStyle w:val="null3"/>
        <w:jc w:val="center"/>
        <w:outlineLvl w:val="2"/>
      </w:pPr>
      <w:r>
        <w:rPr>
          <w:rFonts w:ascii="仿宋_GB2312" w:hAnsi="仿宋_GB2312" w:cs="仿宋_GB2312" w:eastAsia="仿宋_GB2312"/>
          <w:sz w:val="28"/>
          <w:b/>
        </w:rPr>
        <w:t>西安市公路工程管理处</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西安市公路工程管理处</w:t>
      </w:r>
      <w:r>
        <w:rPr>
          <w:rFonts w:ascii="仿宋_GB2312" w:hAnsi="仿宋_GB2312" w:cs="仿宋_GB2312" w:eastAsia="仿宋_GB2312"/>
        </w:rPr>
        <w:t>委托，拟对</w:t>
      </w:r>
      <w:r>
        <w:rPr>
          <w:rFonts w:ascii="仿宋_GB2312" w:hAnsi="仿宋_GB2312" w:cs="仿宋_GB2312" w:eastAsia="仿宋_GB2312"/>
        </w:rPr>
        <w:t>210国道西安过境公路工程浐河大桥对常家湾水文站监测影响评价报告</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SCZD2025-CS-2838-001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210国道西安过境公路工程浐河大桥对常家湾水文站监测影响评价报告</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210国道西安过境下大寨至侯官寨公路，路线起于西安市高陵区西关村，经塬陶村、西泉街道、邵平店、岳家沟、神峪寺沟、鸣犊街道，止于西安市长安区侯官寨村，路线全长60.178公里，其中EPC段路线长50.198公里。本次对210国道西安过境公路工程浐河大桥对常家湾水文站监测影响评价报告编制技术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采购包1（210国道西安过境公路工程浐河大桥对常家湾水文站监测影响评价报告）：属于专门面向中小企业采购。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1、法定代表人/单位负责人身份证明书、授权委托书及授权代表在本单位缴纳养老保险证明：①法定代表人或单位负责人参加磋商的，应提供法定代表人或单位负责人身份证明； ②授权代表参加磋商的，应提供法定代表人或单位负责人身份证明、授权委托书及授权代表在本单位缴纳养老保险证明。</w:t>
      </w:r>
    </w:p>
    <w:p>
      <w:pPr>
        <w:pStyle w:val="null3"/>
      </w:pPr>
      <w:r>
        <w:rPr>
          <w:rFonts w:ascii="仿宋_GB2312" w:hAnsi="仿宋_GB2312" w:cs="仿宋_GB2312" w:eastAsia="仿宋_GB2312"/>
        </w:rPr>
        <w:t>2、信用记录：供应商在递交竞争性磋商响应文件截止时间前被“信用中国”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3、联合体：本项目不接受联合体。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西安市公路工程管理处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西安市含光南路218号西安交通信息大厦9楼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王一博、纪智奇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2、服务费由采购人与采购代理机构约定：固定金额，按¥6000.00元收取。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西安市公路工程管理处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西安市公路工程管理处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西安市公路工程管理处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成交供应商完成报告编制并通过专家评审会并取得审查意见；成交供应商应向采购人交付最终成果纸质版4份、电子版1份。</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210国道西安过境下大寨至侯官寨公路，路线起于西安市高陵区西关村，经塬陶村、西泉街道、邵平店、岳家沟、神峪寺沟、鸣犊街道，止于西安市长安区侯官寨村，路线全长60.178公里，其中EPC段路线长50.198公里。本次对210国道西安过境公路工程浐河大桥对常家湾水文站监测影响评价报告编制技术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210国道西安过境公路工程浐河大桥对常家湾水文站监测影响评价报告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标的名称：210国道西安过境公路工程浐河大桥对常家湾水文站监测影响评价报告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w:t>
            </w:r>
            <w:r>
              <w:rPr>
                <w:rFonts w:ascii="仿宋_GB2312" w:hAnsi="仿宋_GB2312" w:cs="仿宋_GB2312" w:eastAsia="仿宋_GB2312"/>
                <w:sz w:val="24"/>
                <w:b/>
              </w:rPr>
              <w:t>服务内容及标准</w:t>
            </w:r>
          </w:p>
          <w:p>
            <w:pPr>
              <w:pStyle w:val="null3"/>
              <w:jc w:val="left"/>
            </w:pPr>
            <w:r>
              <w:rPr>
                <w:rFonts w:ascii="仿宋_GB2312" w:hAnsi="仿宋_GB2312" w:cs="仿宋_GB2312" w:eastAsia="仿宋_GB2312"/>
                <w:sz w:val="24"/>
              </w:rPr>
              <w:t>采购人委托供应商按照《陕西省水文条例》等法律法规要求，开展</w:t>
            </w:r>
            <w:r>
              <w:rPr>
                <w:rFonts w:ascii="仿宋_GB2312" w:hAnsi="仿宋_GB2312" w:cs="仿宋_GB2312" w:eastAsia="仿宋_GB2312"/>
                <w:sz w:val="24"/>
              </w:rPr>
              <w:t>210国道西安过境公路工程浐河大桥对常家湾水文站水文监测分析评价，形成报告，组织专家评审并取得审查意见</w:t>
            </w:r>
            <w:r>
              <w:rPr>
                <w:rFonts w:ascii="仿宋_GB2312" w:hAnsi="仿宋_GB2312" w:cs="仿宋_GB2312" w:eastAsia="仿宋_GB2312"/>
                <w:sz w:val="24"/>
              </w:rPr>
              <w:t>。</w:t>
            </w:r>
            <w:r>
              <w:rPr>
                <w:rFonts w:ascii="仿宋_GB2312" w:hAnsi="仿宋_GB2312" w:cs="仿宋_GB2312" w:eastAsia="仿宋_GB2312"/>
                <w:sz w:val="24"/>
              </w:rPr>
              <w:t>同时供应商向采购人提供《</w:t>
            </w:r>
            <w:r>
              <w:rPr>
                <w:rFonts w:ascii="仿宋_GB2312" w:hAnsi="仿宋_GB2312" w:cs="仿宋_GB2312" w:eastAsia="仿宋_GB2312"/>
                <w:sz w:val="24"/>
              </w:rPr>
              <w:t>210国道西安过境公路工程浐河大桥对常家湾水文站监测影响评价报告》4份。</w:t>
            </w:r>
          </w:p>
          <w:p>
            <w:pPr>
              <w:pStyle w:val="null3"/>
              <w:jc w:val="left"/>
            </w:pPr>
            <w:r>
              <w:rPr>
                <w:rFonts w:ascii="仿宋_GB2312" w:hAnsi="仿宋_GB2312" w:cs="仿宋_GB2312" w:eastAsia="仿宋_GB2312"/>
                <w:sz w:val="24"/>
                <w:b/>
              </w:rPr>
              <w:t>二、</w:t>
            </w:r>
            <w:r>
              <w:rPr>
                <w:rFonts w:ascii="仿宋_GB2312" w:hAnsi="仿宋_GB2312" w:cs="仿宋_GB2312" w:eastAsia="仿宋_GB2312"/>
                <w:sz w:val="24"/>
                <w:b/>
              </w:rPr>
              <w:t>服务期限</w:t>
            </w:r>
          </w:p>
          <w:p>
            <w:pPr>
              <w:pStyle w:val="null3"/>
            </w:pPr>
            <w:r>
              <w:rPr>
                <w:rFonts w:ascii="仿宋_GB2312" w:hAnsi="仿宋_GB2312" w:cs="仿宋_GB2312" w:eastAsia="仿宋_GB2312"/>
                <w:sz w:val="24"/>
              </w:rPr>
              <w:t>自合同签订后</w:t>
            </w:r>
            <w:r>
              <w:rPr>
                <w:rFonts w:ascii="仿宋_GB2312" w:hAnsi="仿宋_GB2312" w:cs="仿宋_GB2312" w:eastAsia="仿宋_GB2312"/>
                <w:sz w:val="24"/>
              </w:rPr>
              <w:t>90日内完成，如遇不可抗因素，经采购人与供应商双方协商一致，可延长服务期限。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自合同签订后90日内完成。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成交供应商完成报告编制并通过专家评审会并取得审查意见。</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合同签订后，采购人向成交供应商支付预付款</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成交供应商完成报告编制并通过专家评审会后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项目取得审查意见后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1.1因采购人建设方案发生变更造成成交供应商延期工作、延迟交付成果的，责任由采购人承担并顺延工作期限。如因采购人未能按时向成交供应商提供资料、合同费用等原因，造成成交供应商工作延期，责任由采购人承担并尽快向成交供应商提供所需资料及合同费用等。 1.2因成交供应商原因导致成果未按时完成，对采购人造成影响的，责任由成交供应商承担并尽快完成。因成交供应商技术原因导致报告评审无法通过，责任由成交供应商承担并重新提交成果，费用自行承担。 1.3采购人按合同约定向成交供应商支付预付款后，若合同正常履行，预付款视为合同价款的一部分，不予扣回；若成交供应商不能按期提交工作成果且因成交供应商原因导致工作无法继续推进的情况下，成交供应商应无条件退还全部预付款。 2.解决争议的方法：因履行本合同发生争议，由合同双方协商解决，协商不成的，提交西安仲裁委员会仲裁。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关于进一步加大政府采购支持中小企业力度的通知》（财库〔2022〕19号）、《政府采购促进中小企业发展管理办法》（财库〔2020〕46号）、《关于政府采购支持监狱企业发展有关问题的通知》（财库〔2014〕68号）、《关于促进残疾人就业政府采购政策的通知》（财库〔2017〕141号）。 《财政部 农业农村部 国家乡村振兴局关于运用政府采购政策支持乡村产业振兴的通知》（财库〔2021〕19号）、《财政部农业农村部国家乡村振兴局 中华全国供销合作总社关于印发&lt;关于深入开展政府采购脱贫地区农副产品工作推进乡村产业振兴的实施意见&gt;的通知》（财库〔2021〕20号）。 《国家互联网信息办公室 工业和信息化部 公安部 财政部 国家认证认可监督管理委员会关于调整网络安全专用产品安全管理有关事项的公告》（2023年第1号）。 《陕西省财政厅关于加快推进我省中小企业政府采购信用融资工作的通知》（陕财办采〔2020〕15 号）、陕西省财政厅关于印发《陕西省中小企业政府采购信用融资办法》（陕财办采〔2018〕23 号）、《陕西省财政厅、中国人民银行西安分行关于深入推进政府采购信用融资业务的通知》陕财办采〔2023〕5号。 国务院办公厅《关于建立政府强制采购节能产品制度的通知》（国办发〔2007〕51号） 《财政部 发展改革委 生态环境部 国家监管总局关于调整优化节能产品、环境标志产品政府采购执行机制的通知》（财库〔2019〕9号） 《关于印发环境标志产品政府采购品目清单的通知》（财库〔2019〕18号） 《关于印发节能产品政府采购品目清单的通知》（财库〔2019〕19号） 陕西省财政厅《关于进一步加强政府绿色采购有关问题的通知》（陕财办采〔2021〕29号） 《政府采购支持绿色建材促进建筑品质提升政策项目实施指南》的通知(财库〔2023〕52号)及《关于扩大政府采购支持绿色建材促进建筑品质提升政策实施范围的通知》(财库〔2022〕35号) 若享受以上政策优惠的企业，提供相应声明函或品目清单范围内产品的有效认证证书。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（3）供应商是非企业专业服务机构的，应提供其有效的“执业许可证”复印件；（4）供应商是民办非企业单位的，应提供其有效的登记证书复印件；（5）供应商是个体工商户的，应提供其有效的“营 业执照”复印件；（6）供应商是自然人的，应提供其有效的自然人身份证明复印件； 2、依法缴纳税收的相关材料：（1）供应商应提供自磋商响应文件递交截止时间前近六个月中任何一个月已缴纳的完税凭证或税务机关开具的完税证明（任意税种），时间以税款所属时期为准（银行出具的缴税凭证或税务机关出具的证明的复印件）。（2）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3）缴纳凭证复印件须清晰可辨，并能显示出供应商名称和所缴纳税种种类，单位代扣代缴的个人所得税不能作为单位纳税的凭证。（4）依法免税或无须缴纳税收的供应商，应提供相应证明文件； 3、依法缴纳社会保障资金的相关材料：（1）供应商应提供自磋商响应文件递交截止时间前近六个月中至少一个月的社会缴纳社会保险的凭据（专用收据或社会保险缴纳清单）。（2）不需要缴纳社会保障资金的供应商，应提供相应文件证明其不需要缴纳社会保障资金； 4、提供具有履行合同所必需的设备和专业技术能力的承诺函； 5、提供参加本次政府采购活动前三年内在经营活动中没有重大违法记录的书面声明。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1、单位负责人为同一人或者存在直接控股、管理关系的不同供应商，不得参加本次采购活动； 2、为本项目提供整体设计、规范编制或者项目管理、监理、检测等服务的供应商，不得再参加该采购项目的其他采购活动。供应商需在项目电子化交易系统中按要求填写《投标函》完成承诺并进行电子签章。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本项目为专门面向中小企业的项目，供应商应为中小微企业、监狱企业或残疾人福利性单位。</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①法定代表人或单位负责人参加磋商的，应提供法定代表人或单位负责人身份证明； ②授权代表参加磋商的，应提供法定代表人或单位负责人身份证明、授权委托书及授权代表在本单位缴纳养老保险证明。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竞争性磋商响应文件截止时间前被“信用中国”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响应函 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首次磋商报价表.docx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响应承诺书.docx 业绩一览表.docx 服务内容及服务邀请应答表 中小企业声明函 商务应答表 首次磋商报价表.docx 报价表 资格证明资料.docx 响应文件封面 政府采购供应商拒绝政府采购领域商业贿赂承诺书.docx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首次磋商报价表.docx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政府采购供应商拒绝政府采购领域商业贿赂承诺书.docx 响应承诺书.docx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响应函 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依据供应商提供的本项目的服务方案评审，内容包含： 1、服务需求理解（5分）：内容完整、可实施、且有针对性得5分；内容完整、可实施得3分；方案基本完整得1分；未提供不得分; 2、服务工作大纲（5分）：内容完整、可实施、且有针对性得5分；内容完整、可实施得3分；方案基本完整得1分；未提供不得分; 3、服务工作实施方案与技术措施（5分）：内容完整、可实施、且有针对性得5分；内容完整、可实施得3分；方案基本完整得1分；未提供不得分; 4、本次服务的重点、难点分析（5分）：内容完整、可实施、且有针对性得5分；内容完整、可实施得3分；方案基本完整得1分；未提供不得分。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项目实施进度</w:t>
            </w:r>
          </w:p>
        </w:tc>
        <w:tc>
          <w:tcPr>
            <w:tcW w:type="dxa" w:w="2492"/>
          </w:tcPr>
          <w:p>
            <w:pPr>
              <w:pStyle w:val="null3"/>
            </w:pPr>
            <w:r>
              <w:rPr>
                <w:rFonts w:ascii="仿宋_GB2312" w:hAnsi="仿宋_GB2312" w:cs="仿宋_GB2312" w:eastAsia="仿宋_GB2312"/>
              </w:rPr>
              <w:t>依据供应商提供的本项目的项目实施进度评审，内容包含： 1、进度目标分析（5分）：内容完整、可实施、且有针对性得5分；内容完整、可实施得3分；方案基本完整得1分；未提供不得分; 2、进度计划（5分）：内容完整、可实施、且有针对性得5分；内容完整、可实施得3分；方案基本完整得1分；未提供不得分; 3、进度保障措施（5分）：内容完整、可实施、且有针对性得5分；内容完整、可实施得3分；方案基本完整得1分；未提供不得分。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依据供应商提供的本项目的项目保障措施评审，内容包含： 1、质量保障体系（5分）：内容完整、可实施、且有针对性得5分；内容完整、可实施得3分；方案基本完整得1分；未提供不得分; 2、质量目标（5分）：内容完整、可实施、且有针对性得5分；内容完整、可实施得3分；方案基本完整得1分；未提供不得分; 3、质量保障措施（5分）：内容完整、可实施、且有针对性得5分；内容完整、可实施得3分；方案基本完整得1分；未提供不得分； 4、保密措施（5分）：内容完整、可实施、且有针对性得5分；内容完整、可实施得3分；方案基本完整得1分；未提供不得分。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项目负责人资格证书</w:t>
            </w:r>
          </w:p>
        </w:tc>
        <w:tc>
          <w:tcPr>
            <w:tcW w:type="dxa" w:w="2492"/>
          </w:tcPr>
          <w:p>
            <w:pPr>
              <w:pStyle w:val="null3"/>
            </w:pPr>
            <w:r>
              <w:rPr>
                <w:rFonts w:ascii="仿宋_GB2312" w:hAnsi="仿宋_GB2312" w:cs="仿宋_GB2312" w:eastAsia="仿宋_GB2312"/>
              </w:rPr>
              <w:t>拟派项目负责人具有水利相关专业中级及以上职称，提供证明材料得4分。 注：提供项目负责人身份证、毕业证、职称证书等资料复印件及递交响应文件时间前在本单位社保缴纳证明。未提供或不全不得分。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供应商根据项目需求进行人员配置，除项目负责人之外，团队成员中每增加1名水利相关专业中级及以上职称加3分，最高得6分。 注：提供相关人员身份证、毕业证、职称证书等资料复印件以及递交响应文件截止时间前在本单位注册社保缴纳证明。 未提供或不全不得分。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及采购人实际需求提供详细具体可行的服务承诺，有详细的服务承诺书，能提供相关的实施措施，能及时响应和积极配合采购人的有关要求。内容完整、可实施、且有针对性得5分；内容完整、可实施得3分；方案基本完整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供应商提供2022年1月至今类似项目业绩，每提供一个得4分，最多得20分。 注：提供合同或协议书的扫描件或复印件并加盖公章，时间以合同签订日期为准，未按要求提供的不得分。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满足磋商文件要求且最终投标价格最低的磋商报价为评标基准价，其价格分为满分。 其他投标人的价格分统一按照下列公式计算： 磋商报价得分=(磋商基准价／最终磋商报价)×10。计算分数时四舍五入取小数点后两位。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详见附件：首次磋商报价表.docx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详见附件：响应承诺书.docx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详见附件：210国道西安过境公路工程浐河大桥对常家湾水文站监测影响评价报告编制技术服务合同.docx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