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版本号：【KRDL】K5-2511157-0220251212001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网络与信息化机房设备维保服务(二次)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【KRDL】K5-2511157-02</w:t>
      </w:r>
      <w:r>
        <w:br/>
      </w:r>
      <w:r>
        <w:br/>
      </w:r>
      <w:r>
        <w:br/>
      </w:r>
    </w:p>
    <w:p>
      <w:pPr>
        <w:pStyle w:val="null3"/>
        <w:jc w:val="center"/>
        <w:outlineLvl w:val="2"/>
      </w:pPr>
      <w:r>
        <w:rPr>
          <w:rFonts w:ascii="仿宋_GB2312" w:hAnsi="仿宋_GB2312" w:cs="仿宋_GB2312" w:eastAsia="仿宋_GB2312"/>
          <w:sz w:val="28"/>
          <w:b/>
        </w:rPr>
        <w:t>西安市人民医院（西安市第四医院）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西安市人民医院（西安市第四医院）</w:t>
      </w:r>
      <w:r>
        <w:rPr>
          <w:rFonts w:ascii="仿宋_GB2312" w:hAnsi="仿宋_GB2312" w:cs="仿宋_GB2312" w:eastAsia="仿宋_GB2312"/>
        </w:rPr>
        <w:t>委托，拟对</w:t>
      </w:r>
      <w:r>
        <w:rPr>
          <w:rFonts w:ascii="仿宋_GB2312" w:hAnsi="仿宋_GB2312" w:cs="仿宋_GB2312" w:eastAsia="仿宋_GB2312"/>
        </w:rPr>
        <w:t>网络与信息化机房设备维保服务(二次)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【KRDL】K5-2511157-02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网络与信息化机房设备维保服务(二次)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提高信息化机房各类设备的使用效率，延长设备的使用寿命，降低因基础设备带来的安全风险，需要进行全面维护保养和定期巡检，确保系统和网络稳定，降低风险，本次采购机房运维服务，服务内容为信息系统机房核心设备：服务器、存储、虚拟化（超融合）平台、核心网络交换、UPS、精密空调等设施及其相关软件的质保与日常维护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采购包1（网络与信息化机房设备维保服务）：属于专门面向中小企业采购。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供应商提供2024年度的财务审计报告或供应商基本户开户银行近三个月内出具的资信证明(须提供基本户开户许可证或基本户开户信息)或供应商提供在投标截止时间前三个月内由信用担保机构出具的投标担保函；</w:t>
      </w:r>
    </w:p>
    <w:p>
      <w:pPr>
        <w:pStyle w:val="null3"/>
      </w:pPr>
      <w:r>
        <w:rPr>
          <w:rFonts w:ascii="仿宋_GB2312" w:hAnsi="仿宋_GB2312" w:cs="仿宋_GB2312" w:eastAsia="仿宋_GB2312"/>
        </w:rPr>
        <w:t>3、税收缴纳证明：供应商提供2025年1月1日以来任意1个月的纳税缴纳证明，免税企业提供税务机关出具相关的有效证明材料；</w:t>
      </w:r>
    </w:p>
    <w:p>
      <w:pPr>
        <w:pStyle w:val="null3"/>
      </w:pPr>
      <w:r>
        <w:rPr>
          <w:rFonts w:ascii="仿宋_GB2312" w:hAnsi="仿宋_GB2312" w:cs="仿宋_GB2312" w:eastAsia="仿宋_GB2312"/>
        </w:rPr>
        <w:t>4、社会保障资金缴纳证明：供应商提供2025年1月1日以来任意1个月的社保缴纳证明，其他组织形式供应商(如个体工商户、合作社、自然人等)可提供法人或负责人个人2025年1月1日以来任意1个月的社保资金缴纳证明材料；</w:t>
      </w:r>
    </w:p>
    <w:p>
      <w:pPr>
        <w:pStyle w:val="null3"/>
      </w:pPr>
      <w:r>
        <w:rPr>
          <w:rFonts w:ascii="仿宋_GB2312" w:hAnsi="仿宋_GB2312" w:cs="仿宋_GB2312" w:eastAsia="仿宋_GB2312"/>
        </w:rPr>
        <w:t>5、信誉要求：截止至响应文件递交截止时间之前，供应商未被“信用中国”网站列入失信被执行人、重大税收违法失信主体名单，未被“中国政府采购网”网站列入政府采购严重违法失信行为记录名单（以采购代理机构在磋商会议现场通过“信用中国”网站、中国政府采购网等渠道的查询结果为准。）</w:t>
      </w:r>
    </w:p>
    <w:p>
      <w:pPr>
        <w:pStyle w:val="null3"/>
      </w:pPr>
      <w:r>
        <w:rPr>
          <w:rFonts w:ascii="仿宋_GB2312" w:hAnsi="仿宋_GB2312" w:cs="仿宋_GB2312" w:eastAsia="仿宋_GB2312"/>
        </w:rPr>
        <w:t>6、授权委托书：提供法定代表人授权书（附法定代表人、被授权人身份证复印件）；法定代表人直接参加磋商，须提供法定代表人身份证明及身份证复印件；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7、是否接受联合体投标：本项目不接受联合体参加（供应商须提供非联合体参加声明）；</w:t>
      </w:r>
    </w:p>
    <w:p>
      <w:pPr>
        <w:pStyle w:val="null3"/>
      </w:pPr>
      <w:r>
        <w:rPr>
          <w:rFonts w:ascii="仿宋_GB2312" w:hAnsi="仿宋_GB2312" w:cs="仿宋_GB2312" w:eastAsia="仿宋_GB2312"/>
        </w:rPr>
        <w:t>8、专门面向中小企业采购：本项目专门面向中小企业采购（供应商须提供中小企业声明函）。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西安市人民医院（西安市第四医院）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西安市长安区航天新城航天东路155号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029-61199741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姚瑶、王森、于珂欣、王昭、刘昆、张晨、代光艳、靳祥德、成荔、彭明杨、王莉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采购代理服务收费管理暂行办法》（计价格[2002]1980号）以及国家发展和改革委员会办公厅颁发的《关于采购代理服务收费有关问题的通知》（发改办价格[2003] 857号）的有关规定标准下浮30%，向采购代理机构一次付清代理服务费。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踏勘时间：2025-12-23 08:30:00</w:t>
            </w:r>
          </w:p>
          <w:p>
            <w:pPr>
              <w:pStyle w:val="null3"/>
              <w:ind w:firstLine="975"/>
            </w:pPr>
            <w:r>
              <w:rPr>
                <w:rFonts w:ascii="仿宋_GB2312" w:hAnsi="仿宋_GB2312" w:cs="仿宋_GB2312" w:eastAsia="仿宋_GB2312"/>
              </w:rPr>
              <w:t>踏勘地点：8:30 大差市院区门诊门口集合 11:00 航天城院区门诊大厅集合</w:t>
            </w:r>
          </w:p>
          <w:p>
            <w:pPr>
              <w:pStyle w:val="null3"/>
              <w:ind w:firstLine="975"/>
            </w:pPr>
            <w:r>
              <w:rPr>
                <w:rFonts w:ascii="仿宋_GB2312" w:hAnsi="仿宋_GB2312" w:cs="仿宋_GB2312" w:eastAsia="仿宋_GB2312"/>
              </w:rPr>
              <w:t>联系人：于工</w:t>
            </w:r>
          </w:p>
          <w:p>
            <w:pPr>
              <w:pStyle w:val="null3"/>
              <w:ind w:firstLine="975"/>
            </w:pPr>
            <w:r>
              <w:rPr>
                <w:rFonts w:ascii="仿宋_GB2312" w:hAnsi="仿宋_GB2312" w:cs="仿宋_GB2312" w:eastAsia="仿宋_GB2312"/>
              </w:rPr>
              <w:t>联系电话号码：18821613947</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西安市人民医院（西安市第四医院）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西安市人民医院（西安市第四医院）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西安市人民医院（西安市第四医院）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1、竞争性磋商文件、响应文件、澄清表(函); 2、本合同及附件文本； 3、国家相应的标准、规范。 4、总结报告、巡检单、满意度调查表等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联系人：于珂欣</w:t>
      </w:r>
    </w:p>
    <w:p>
      <w:pPr>
        <w:pStyle w:val="null3"/>
      </w:pPr>
      <w:r>
        <w:rPr>
          <w:rFonts w:ascii="仿宋_GB2312" w:hAnsi="仿宋_GB2312" w:cs="仿宋_GB2312" w:eastAsia="仿宋_GB2312"/>
        </w:rPr>
        <w:t>联系电话：029-81870236、18821613947</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我院两院区信息化机房硬件集成建成投入使用至今，各设备运行平稳，核心设备已过维保期；为提高信息化机房各类设备的使用效率，延长设备的使用寿命，降低因基础设备带来的安全风险，需要进行全面维护保养和定期巡检，确保我院系统和网络稳定，降低风险，本次采购机房运维服务，服务内容为我院信息系统机房核心设备：服务器、存储、虚拟化（超融合）平台、核心网络交换、</w:t>
      </w:r>
      <w:r>
        <w:rPr>
          <w:rFonts w:ascii="仿宋_GB2312" w:hAnsi="仿宋_GB2312" w:cs="仿宋_GB2312" w:eastAsia="仿宋_GB2312"/>
        </w:rPr>
        <w:t>UPS、精密空调等设施及其相关软件的质保与日常维护服务。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网络与信息化机房设备维保服务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标的名称：网络与信息化机房设备维保服务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一、资产统计、更新、变更登记服务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1.1 服务要求：协助医院做好数据中心各类资产的梳理、统计、变更情况的记录，协助医院建立资产台账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1.2 服务内容：硬件设备型号、数量、版本等信息统计记录，网络结构、网络路由、网络IP地址统计记录，机房网络拓扑图的绘制，其它附属设备的统计记录，预防性硬件设备维护服务培训、专业知识培训等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二、网络、安全设备运维服务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2.1 服务要求：通过网络、安全系统管理服务，降低网络设备故障率，提高网络设备的运行性能，提高网络运行的稳定性、可靠性</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2.2 服务内容：设备硬件及环境保养，设备硬件日常维护，设备故障检测及故障排除、处理，网络系统重部署及调试，网络异常问题处理，网络设备硬件状态检查，网络设备配置管理服务，网络设备资料与配置参数优化，网络使用状况趋势分析及建议，网络安全管理等</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三、服务器及存储运维服务</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3.1 服务器</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3.1.1 服务要求：通过对服务器提供设备维保及巡检，提高服务器运行稳定性和可靠性</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3.1.2 服务内容：CPU、内存、I/O状态、进程、系统事件等检查，外部设备运行状态检查，电源、风扇、后备电池、磁盘检查，连接插头、电缆、电源插座等连接件检查， 电源电压、接地和机箱温度等环境检查等</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3.1.3 服务内容：将大差市机房服务器的 iBMC 端口统一接入，实现集中管理</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3.2 存储</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3.2.1 服务要求：通过对存储进行设备维保、巡检及日常维护，合理规划存储空间，保障设备运行稳定与数据安全</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3.2.2 服务内容：网络状态，存储空间监测，I/O监测，硬盘状态检查，双活状态检查等</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3.2.3 大差市机房 V7000一台 存储设备存储的数据逐步迁移至云平台</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四、操作系统、虚拟化平台及数据库运维</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4.1 操作系统运维</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4.1.1 服务要求：对各类服务器操作系统进行管理，已安装部署的操作系统进行巡检，安装系统补丁，保障操作系统运行稳定与安全</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4.1.2 服务内容：操作系统镜像管理，服务器进程与服务检查，用户、密码与权限检查，操作系统补丁安装、日志分析，安全策略调优，故障诊断和修复等</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4.2 虚拟化平台运维</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4.2.1 服务要求：对虚拟化平台进行维保，巡检及日常维护，合理规划计算资源，及时更新系统版本保障虚拟化平台及其支撑的虚拟机平稳运行，其中青云私有云平台须购买与服务期相匹配的原厂保修。原厂每季度巡检服务并输出巡检报告，软件版本升级至6.0版本及以上。</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4.2.2 服务内容：虚拟化平台日常运维，虚拟化底层设备巡检，虚拟机备份与迁移，虚拟化平台版本升级、告警处理与故障修复等</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4.3 数据库服务</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4.3.1 服务要求：此项服务是指数据库运维技术人员前往客户现场对数据库进行性能巡检并完成针对性优化，及时解决潜在的风险，提升用户使用体验感。</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4.3.2 服务内容：①数据库巡检及诊断:提供数据库各方面巡检,向用户输出存在的问题及隐患，提供相应的解决方法并协助用户落实；②现场数据库性能优化：优化数据库配置、索引、阻塞、慢语句、慢存储过程进行，最大范围提升数据库性能；③SQL代码分析:分析应用程序代码，发现待优化项，并提供最佳实践方法；④硬件评估:评估数据库的硬件承载能力，分析硬件瓶颈所在；⑤技术支持：针对业务数据库提供7*24小时技术支持，第一时间帮助用户排查数据库类问题；⑥数据库知识培训:向客户提供数据库技术的全面培训。⑦所需运维的数据库管理系统清单详见附件。</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4.3.3 服务人员和方式：监控管理中心数据库运维技术人员现场服务方式。</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4.3.4 服务标准：此项服务为单次服务，主要包含现场数据库巡检及诊断、现场数据库性能优化、SQL代码分析、硬件评估、技术支持、数据库知识培训等具体服务小项。现场数据库性能优化服务工作需通过《现场巡检报告》呈现。</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五、机房动环设备运维</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5.1 UPS</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5.1.1 服务要求：对机房UPS系统整体进行维保，巡检及日常维护，保障机房电力供应平稳，能够应对突发停电事件。</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5.1.2 服务内容：UPS系统配电柜面板功能检查，输入输出各项参数检查，蓄电池外观状态与环境检查，线路连接与指示灯检查，定期开展充放电等</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5.2 精密空调</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5.2.1 服务要求：对机房精密空调系统整体进行维保，巡检及日常维护，保障机房温湿度保持在合适的范围，保障各类设备运行温度正常。</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5.2.2 服务内容：精密空调面板功能检查，温湿度各项参数检查，机房温湿度监控，冷媒与漏水检测传感器检查，定期清洗过滤网等</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六、运维记录周期要求</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6.1 服务器、网络设备、安全设备、数据库、动环系统等设备与系统的巡检，每月不少于1次，每季度提交一份巡检报告。</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6.2 故障处理记录每次及时记录，故障处理完成后1周内提交故障周报。</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6.3 每季度提交一份运维工作总结与自评表，每年运维服务期结束后提交年度运维工作总结与自评表</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七、驻场服务要求</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7.1 ≥1名驻场人员，保持人员稳定，非特殊原因不得替换。驻场人员应具备5年以上系统集成经验且具备中级或以上或以下厂家存储或虚拟化认证（如VMware vcp或华为虚拟化中HCIE及以上认证）或熟悉aix、linux等系统维护或熟练操作华为、IBM、联想、SAN交换机等主流系统运维工作。</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7.2 驻场人员负责在现场完成日常巡检，设备监控，故障处理，性能优化，文档编写等日常工作</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7.3 驻场人员按照采购人员工的考勤制度管理</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7.4 驻场人员工作时间之外，保持24小时电话畅通，响应时间≤15分钟，到达现场时间≤2小时</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7.5二线支持：不需驻场，不少于10人的二线团队，根据需要提供定期或不定期的技术支持。二线团队应由多个技术领域的技术人员组成，领域应包含：项目管理、服务管理、服务器、存储、网络、操作系统、数据库、备份、机房环境等。二线技术人员对现场特定的事务进行有针对性的支持，和一线人员的工作互补，以满足整体运维服务的要求。</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八、运维服务范围</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8.1 两院区机房内所有在用及服务期内新增的设备、数据库、虚拟化平台进行日常运维，且对已过保设备提供保修服务，已过保设备详见附件《运维服务设备清单》，机房新增设备实时加入该清单。</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九、机房整治</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9.1 大差市机房机线整治，线缆整理，完善拓扑，完善标签等。弱电间从配线架到交换机的线缆整理，整治期间须保障原有设备、电路正常运行。</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十、备件库及耗材保障</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10.1 设置备件库，需提供备件库证明文件及备件清单，备件清单包括但不限于电源、硬盘、内存、阵列卡等，还应包括采购人在用的信息设备和服务存续期间采购人新增入院的信息设备及软件所需的备件等，费用包含在维保费用内，不再增加其他额外费用。需要更换备件时，备件到场时间≤2小时。同时具备完善的备件库及低值耗材管理方案和服务流程。</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2026年6月1日-2027年12月31日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采购人指定地点（包含大差市院区及航天城院区业务范围）。</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1.服务期到期后，成交供应商提出申请，共同出具项目自验报告并附带服务考核表。采购人根据竞争性磋商文件、响应文件及相关文件进行验收，确认成交供应商是否达到服务标准和采购要求。 2.采购人组织成交供应商(必要时请有关专家)进行项目验收，确认项目最终执行金额，验收合格后，填写政府采购项目验收单(一式伍份)作为对项目的最终认可。 3.成交供应商向采购人提供维保服务过程中的所有资料，以便采购人日后管理和维护。 4.验收依据 (1)竞争性磋商文件、响应文件、澄清表(函); (2)本合同及附件文本； (3)国家相应的标准、规范。 (4)总结报告、巡检单、满意度调查表等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合同签订后，自采购人接到合同总价款40%等额发票之日起，10个工作日内支付合同总金额的40%款项作为预付款 </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整个项目服务期间，采购人按月对服务商服务效果进行评价考核。服务期结束，成交供应商按照要求交付运维文档资料后30天内，采购人按每月考核结果对成交供应商整体服务效果进行综合评价，拟定合同最终执行金额，交予成交供应商确认。成交供应商确认执行金额后，按确认金额开具剩余发票。采购人自接到发票之日起，10个工作日内支付发票金额的100%。（以合同签订为准） </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1.《中华人民共和国民法典》中的相关条款执行。 2.成交供应商存在以下情形之一： （1）服务期开始后超30天乙方仍未入场；（2）成交供应商收到预付款后未按合同要求提供服务； （3）因成交供应商服务质量不能满足合同技术要求，导致采购人网络或系统大面积瘫痪持续超过24小时，或服务期内累计超过3天，则视为成交供应商根本违约，成交供应商应退还采购人预付款，并按照合同总价的30%向采购人支付违约金，若违约金不足以弥补采购人全部损失(包括但不限于重新采购产生的费用及其它由此造成的采购人对第三方的违约损失),由成交供应商另行支付。同时采购人有权按照《中华人民共和国招标投标法》、《中华人民共和国政府采购法》有关处罚条款报监管机构进行相应的处罚。 3.合同存续期间，如经双方协商一致决定终止合同，则双方均不视为违约。成交供应商应继续履行合同义务至当季度结束，采购人应按照合同约定的付款条件向成交供应商支付成交供应商履约期内的服务款项，无需支付未履行服务期期间的款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2.根据《西安市财政局关于促进政府采购公平竞争优化营商环境的通知》市财函[2021]431号文第16条 供应商登记免费领取采购文件的，如不参与项目投标，应在递交投标（或响应）文件截止时间前一日以书面形式告知采购代理机构（接收邮箱：1253677747@qq.com）。否则，采购代理机构可以向财政部门反应情况并提供相应的佐证，供应商一年内累计出现三次该情形，将被监管部门记录为失信行为。 3.运维服务设备清单及所需运维的数据库管理系统清单详见附件。 4.其他商务要求：（1）质量保修范围和保修期：1）乙方确定的方案科学、可行，人员配置合理，满足采购人要求。2）符合国家有关服务规范要求，确保各项系统达到服务要求。3）乙方所有技术人员严格遵守采购人的保密规定，签订保密协议。4）乙方提供的服务，若发生侵权而产生的一切后果，由乙方负责，采购人保留索赔权利。5）为保护采购人的合法权利，乙方企业法定代表人、股东对于本合同的履行须承担无限连带保证责任，并出具《网络与信息化机房设备维保服务采购项目》承担无限连带保证责任担保函。 （2）履约验收时间：供应商提出验收申请之日起 30 日内组织验收。 （3）验收组织的其他事项：采购人组织成交供应商(必要时请有关专家)进行系统验收，验收合格后，填写政府采购项目验收单(一式伍份)作为对项目的最终认可。 （4）履约验收标准：1）竞争性磋商文件、响应文件、澄清表(函);2）本合同及附件文本；3）国家相应的标准、规范；4）总结报告、巡检单、满意度调查表等。 （5）合同总价包括：服务费、人工费、交通费、货物运输与仓储费、检测费、配件耗材费、安装调试费、验收、税费、发票等成交供应商履行合同义务所需的全部费用，合同金额一次性包死，不受市场价格变化等因素的影响。 （6）驻场人员要求： ≥1名驻场人员，保持人员稳定，非特殊原因不得替换。驻场人员应具备5年以上系统集成经验且具备中级或以上或以下厂家存储或虚拟化认证（如VMware vcp或华为虚拟化中HCIE及以上认证）或熟悉aix、linux等系统维护或熟练操作华为、IBM、联想、SAN交换机等主流系统运维工作。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单位负责人为同一人或者存在直接控股、管理关系的其他供应商不得参与同一合同项下的政府采购活动的行为。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(3)财政部、国家发展改革委《关于印发〈节能产品政府采购实施意见〉的通知》 (财库〔2004〕185号)、财政部、国家环保总局联合印发《关于环境标志产品政府采购实施的意见》(财库(2006〕90号)、国务院办公厅《关于建立政府强制采购节能产品制度的通知》(国办发〔2007〕51号)、财政部、国家发展和改革委员会、生态环境部、市场监管总局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供应商提供2024年度的财务审计报告或供应商基本户开户银行近三个月内出具的资信证明(须提供基本户开户许可证或基本户开户信息)或供应商提供在投标截止时间前三个月内由信用担保机构出具的投标担保函；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供应商提供2025年1月1日以来任意1个月的纳税缴纳证明，免税企业提供税务机关出具相关的有效证明材料；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供应商提供2025年1月1日以来任意1个月的社保缴纳证明，其他组织形式供应商(如个体工商户、合作社、自然人等)可提供法人或负责人个人2025年1月1日以来任意1个月的社保资金缴纳证明材料；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以采购代理机构在磋商会议现场通过“信用中国”网站、中国政府采购网等渠道的查询结果为准。）</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本项目不接受联合体参加（供应商须提供非联合体参加声明）；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专门面向中小企业采购</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服务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报价表 项目服务实施方案.docx 响应文件封面 残疾人福利性单位声明函 合同响应偏离表.docx 标的清单 其他资料.docx 供应商应提交的相关资格证明文件.docx 响应函 商务条款偏离表.docx 监狱企业的证明文件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服务内容及服务邀请应答表 中小企业声明函 商务应答表 项目服务实施方案.docx 响应文件封面 残疾人福利性单位声明函 合同响应偏离表.docx 标的清单 其他资料.docx 供应商应提交的相关资格证明文件.docx 响应函 商务条款偏离表.docx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中小企业声明函 商务应答表 项目服务实施方案.docx 响应文件封面 残疾人福利性单位声明函 合同响应偏离表.docx 标的清单 其他资料.docx 供应商应提交的相关资格证明文件.docx 响应函 商务条款偏离表.docx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项目服务实施方案.docx 响应文件封面 残疾人福利性单位声明函 合同响应偏离表.docx 标的清单 其他资料.docx 供应商应提交的相关资格证明文件.docx 响应函 商务条款偏离表.docx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响应文件是否响应“陕西省政府采购供货商拒绝政府采购领域商业贿赂承诺书、参加政府采购活动行为自律承诺书（一）、参加政府采购活动行为自律承诺书（二）</w:t>
            </w:r>
          </w:p>
        </w:tc>
        <w:tc>
          <w:tcPr>
            <w:tcW w:type="dxa" w:w="3322"/>
          </w:tcPr>
          <w:p>
            <w:pPr>
              <w:pStyle w:val="null3"/>
            </w:pPr>
            <w:r>
              <w:rPr>
                <w:rFonts w:ascii="仿宋_GB2312" w:hAnsi="仿宋_GB2312" w:cs="仿宋_GB2312" w:eastAsia="仿宋_GB2312"/>
              </w:rPr>
              <w:t>响应文件响应“陕西省政府采购供货商拒绝政府采购领域商业贿赂承诺书、参加政府采购活动行为自律承诺书（一）、参加政府采购活动行为自律承诺书（二）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授权代表社保缴纳证明材料</w:t>
            </w:r>
          </w:p>
        </w:tc>
        <w:tc>
          <w:tcPr>
            <w:tcW w:type="dxa" w:w="3322"/>
          </w:tcPr>
          <w:p>
            <w:pPr>
              <w:pStyle w:val="null3"/>
            </w:pPr>
            <w:r>
              <w:rPr>
                <w:rFonts w:ascii="仿宋_GB2312" w:hAnsi="仿宋_GB2312" w:cs="仿宋_GB2312" w:eastAsia="仿宋_GB2312"/>
              </w:rPr>
              <w:t>法定代表人授权代表参加投标的，需附被授权人在本单位缴纳社保的证明材料（至少提供响应文件递交截止之日前连续三个月的社保缴纳证明材料，不含开标当月）</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服务内容及要求响应情况</w:t>
            </w:r>
          </w:p>
        </w:tc>
        <w:tc>
          <w:tcPr>
            <w:tcW w:type="dxa" w:w="2492"/>
          </w:tcPr>
          <w:p>
            <w:pPr>
              <w:pStyle w:val="null3"/>
            </w:pPr>
            <w:r>
              <w:rPr>
                <w:rFonts w:ascii="仿宋_GB2312" w:hAnsi="仿宋_GB2312" w:cs="仿宋_GB2312" w:eastAsia="仿宋_GB2312"/>
              </w:rPr>
              <w:t>根据服务内容及要求响应情况评审： 1.完全满足服务内容及要求的，得10分； 2.服务指标要求每负偏离一项扣0.5分，扣完为止。 注：供应商需对提供的服务方案进行说明并提供相关佐证材料；供应商自行承担因材料提供不全导致评审的风险。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一、评审内容 根据供应商针对本项目提供的需求分析方案进行评审，包含：1.对本项目维保现状的理解分析；2.对本项目流程、管理要求的理解分析； 二、评审标准 1.完整性：方案须全面合理，架构完整，对评审内容中的各项要求有详细描述； 2.可实施性：切合本项目实际情况，实施步骤清晰、合理； 3.针对性：方案能够紧扣本项目所维修设备等实际情况，内容科学合理。 三、赋分依据（4分） 上述2项评审内容全部满足评审标准得4分；每有一个评审内容缺项扣2分，扣完为止；每有一项评审内容存在缺陷，扣0.1-2分。 说明：缺陷是指内容没有结合项目实际需求、虽有内容但不完善、内容表述前后不一致或与项目需求不匹配及其他不利于项目实施的等任意一种情形。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整体维保方案</w:t>
            </w:r>
          </w:p>
        </w:tc>
        <w:tc>
          <w:tcPr>
            <w:tcW w:type="dxa" w:w="2492"/>
          </w:tcPr>
          <w:p>
            <w:pPr>
              <w:pStyle w:val="null3"/>
            </w:pPr>
            <w:r>
              <w:rPr>
                <w:rFonts w:ascii="仿宋_GB2312" w:hAnsi="仿宋_GB2312" w:cs="仿宋_GB2312" w:eastAsia="仿宋_GB2312"/>
              </w:rPr>
              <w:t>一、评审内容 根据供应商提供的整体维保方案进行评审，包含：1.日常运行检查及定期报检情况（频率、内容、记录单）；2..维护保养规程； 3.不同设备差异化的维护策略； 4.智能化监控手段（如动环系统实时监测温湿度、漏水、电力等）； 5.远程诊断和故障快速定位； 二、评审标准 1.完整性：方案须全面合理，架构完整，对评审内容中的各项要求有详细描述； 2.可实施性：切合本项目实际情况，实施步骤清晰、合理； 3.针对性：方案能够紧扣本项目所维修设备等实际情况，内容科学合理。 三、赋分依据（15分） 上述5项评审内容全部满足评审标准得15分；每有一个评审内容缺项扣3分，扣完为止；每有一项评审内容存在缺陷，扣0.1-3分。 说明：缺陷是指内容没有结合项目实际需求、虽有内容但不完善、内容表述前后不一致或与项目需求不匹配及其他不利于项目实施的等任意一种情形。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机房整治方案</w:t>
            </w:r>
          </w:p>
        </w:tc>
        <w:tc>
          <w:tcPr>
            <w:tcW w:type="dxa" w:w="2492"/>
          </w:tcPr>
          <w:p>
            <w:pPr>
              <w:pStyle w:val="null3"/>
            </w:pPr>
            <w:r>
              <w:rPr>
                <w:rFonts w:ascii="仿宋_GB2312" w:hAnsi="仿宋_GB2312" w:cs="仿宋_GB2312" w:eastAsia="仿宋_GB2312"/>
              </w:rPr>
              <w:t>一、评审内容 根据供应商提供的机房整治方案进行评审：1.机线整治情况；2.拓扑标签完善、弱电间规范情况； 二、评审标准 1.完整性：方案须全面合理，架构完整，对评审内容中的各项要求有详细描述； 2.可实施性：切合本项目实际情况，实施步骤清晰、合理； 3.针对性：方案能够紧扣本项目所维修设备等实际情况，内容科学合理。 三、赋分依据（4分） 上述2项评审内容全部满足评审标准得4分；每有一个评审内容缺项扣2分，扣完为止；每有一项评审内容存在缺陷，扣0.1-2分。 说明：缺陷是指内容没有结合项目实际需求、虽有内容但不完善、内容表述前后不一致或与项目需求不匹配及其他不利于项目实施的等任意一种情形。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维保进度保证措施方案</w:t>
            </w:r>
          </w:p>
        </w:tc>
        <w:tc>
          <w:tcPr>
            <w:tcW w:type="dxa" w:w="2492"/>
          </w:tcPr>
          <w:p>
            <w:pPr>
              <w:pStyle w:val="null3"/>
            </w:pPr>
            <w:r>
              <w:rPr>
                <w:rFonts w:ascii="仿宋_GB2312" w:hAnsi="仿宋_GB2312" w:cs="仿宋_GB2312" w:eastAsia="仿宋_GB2312"/>
              </w:rPr>
              <w:t>一、评审内容 根据供应商提供的维保进度保证措施方案进行评审，包含：1.维保进度安排；2.进度保障措施； 3.进度延误应对的及时性； 二、评审标准 1.完整性：方案须全面合理，架构完整，对评审内容中的各项要求有详细描述； 2.可实施性：切合本项目实际情况，实施步骤清晰、合理； 3.针对性：方案能够紧扣本项目所维修设备等实际情况，内容科学合理。 三、赋分依据（6分） 上述3项评审内容全部满足评审标准得6分；每有一个评审内容缺项扣2分，扣完为止；每有一项评审内容存在缺陷，扣0.1-2分。 说明：缺陷是指内容没有结合项目实际需求、虽有内容但不完善、内容表述前后不一致或与项目需求不匹配及其他不利于项目实施的等任意一种情形。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项目人员配备1</w:t>
            </w:r>
          </w:p>
        </w:tc>
        <w:tc>
          <w:tcPr>
            <w:tcW w:type="dxa" w:w="2492"/>
          </w:tcPr>
          <w:p>
            <w:pPr>
              <w:pStyle w:val="null3"/>
            </w:pPr>
            <w:r>
              <w:rPr>
                <w:rFonts w:ascii="仿宋_GB2312" w:hAnsi="仿宋_GB2312" w:cs="仿宋_GB2312" w:eastAsia="仿宋_GB2312"/>
              </w:rPr>
              <w:t>1.项目人员中每有一人有5年及以上工作经验的得1分，此项最多得2分；需提供人员工作经验证明材料及在本单位近6个月内缴纳的任意1个月得社保缴纳证明材料（若未提供社保证明材料，则此项不予计分）。 2.项目人员中每有一人具有信息系统项目管理师证书的得1分；此项最多得3分；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项目人员配备2</w:t>
            </w:r>
          </w:p>
        </w:tc>
        <w:tc>
          <w:tcPr>
            <w:tcW w:type="dxa" w:w="2492"/>
          </w:tcPr>
          <w:p>
            <w:pPr>
              <w:pStyle w:val="null3"/>
            </w:pPr>
            <w:r>
              <w:rPr>
                <w:rFonts w:ascii="仿宋_GB2312" w:hAnsi="仿宋_GB2312" w:cs="仿宋_GB2312" w:eastAsia="仿宋_GB2312"/>
              </w:rPr>
              <w:t>一、评审内容 根据供应商提供的项目人员配备方案进行评审：1.团队组织结构2.职责分明情况；3.人员数量 二、评审标准 1.完整性：方案须全面合理，架构完整，对评审内容中的各项要求有详细描述； 2.可实施性：切合本项目实际情况，实施步骤清晰、合理； 3.针对性：方案能够紧扣本项目所维修设备等实际情况，内容科学合理。 三、赋分依据（3分） 上述3项评审内容全部满足评审标准得3分；每有一个评审内容缺项扣1分，扣完为止；每有一项评审内容存在缺陷，扣0.1-1分。 说明：缺陷是指内容没有结合项目实际需求、虽有内容但不完善、内容表述前后不一致或与项目需求不匹配及其他不利于项目实施的等任意一种情形。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备品备件服务方案</w:t>
            </w:r>
          </w:p>
        </w:tc>
        <w:tc>
          <w:tcPr>
            <w:tcW w:type="dxa" w:w="2492"/>
          </w:tcPr>
          <w:p>
            <w:pPr>
              <w:pStyle w:val="null3"/>
            </w:pPr>
            <w:r>
              <w:rPr>
                <w:rFonts w:ascii="仿宋_GB2312" w:hAnsi="仿宋_GB2312" w:cs="仿宋_GB2312" w:eastAsia="仿宋_GB2312"/>
              </w:rPr>
              <w:t>一、评审内容 根据供应商提供的备品备件服务方案进行评审，包含：1.涉及的备品备件储备情况；2.备品备件储备管理措施；3.备品备件采购渠道管理；4.备品备件供应方案； 二、评审标准 1.完整性：方案须全面合理，架构完整，对评审内容中的各项要求有详细描述； 2.可实施性：切合本项目实际情况，实施步骤清晰、合理； 3.针对性：方案能够紧扣本项目所维修设备等实际情况，内容科学合理。 三、赋分依据（8分） 上述4项评审内容全部满足评审标准得8分；每有一个评审内容缺项扣2分，扣完为止；每有一项评审内容存在缺陷，扣0.1-2分。 说明：缺陷是指内容没有结合项目实际需求、虽有内容但不完善、内容表述前后不一致或与项目需求不匹配及其他不利于项目实施的等任意一种情形。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根据供应商提供的应急预案进行评审，包含：1.设备故障（如UPS宕机、空调停机等）；2.网络中断； 二、评审标准 1.完整性：方案须全面合理，架构完整，对评审内容中的各项要求有详细描述； 2.可实施性：切合本项目实际情况，实施步骤清晰、合理； 3.针对性：方案能够紧扣本项目所维修设备等实际情况，内容科学合理。 三、赋分依据（4分） 上述2项评审内容全部满足评审标准得4分；每有一个评审内容缺项扣2分，扣完为止；每有一项评审内容存在缺陷，扣0.1-2分。 说明：缺陷是指内容没有结合项目实际需求、虽有内容但不完善、内容表述前后不一致或与项目需求不匹配及其他不利于项目实施的等任意一种情形。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根据供应商提供的培训方案进行评审，包含：1.培训人员安排及培训课程计划；2.培训的内容、方式、次数； 二、评审标准 1.完整性：方案须全面合理，架构完整，对评审内容中的各项要求有详细描述； 2.可实施性：切合本项目实际情况，实施步骤清晰、合理； 3.针对性：方案能够紧扣本项目所维修设备等实际情况，内容科学合理。 三、赋分依据（4分） 上述2项评审内容全部满足评审标准得4分；每有一个评审内容缺项扣2分，扣完为止；每有一项评审内容存在缺陷，扣0.1-2分。 说明：缺陷是指内容没有结合项目实际需求、虽有内容但不完善、内容表述前后不一致或与项目需求不匹配及其他不利于项目实施的等任意一种情形。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驻场人员固定，不随意更换，若出现驻场人员因事、病假等不能工作的，须经采购人同意后及时调整其他人员补充，确保服务工作的正常进行的得2分。未提供承诺或承诺内容不全的不得分（提供承诺书，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提供供应商自2022年12月1日至今的同类业绩证明材料（以合同签订时间为准），需提供完整的合同扫描件并加盖公章。每提供一份得1分，最高得5分 注：供应商应在响应文件中提供完整业绩合同复印件或扫描件。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详见附件：合同响应偏离表.docx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详见附件：项目服务实施方案.docx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