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48D8">
      <w:pPr>
        <w:shd w:val="clear"/>
        <w:spacing w:line="24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项目名称：</w:t>
      </w:r>
    </w:p>
    <w:p w14:paraId="2BC087C3">
      <w:pPr>
        <w:shd w:val="clear"/>
        <w:spacing w:line="24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项目编号：</w:t>
      </w:r>
    </w:p>
    <w:p w14:paraId="6A69E8FA">
      <w:pPr>
        <w:shd w:val="clear"/>
        <w:spacing w:line="240" w:lineRule="auto"/>
        <w:rPr>
          <w:rFonts w:hint="eastAsia" w:ascii="宋体" w:hAnsi="宋体" w:eastAsia="宋体" w:cs="仿宋_GB2312"/>
          <w:color w:val="auto"/>
          <w:highlight w:val="none"/>
        </w:rPr>
      </w:pPr>
    </w:p>
    <w:p w14:paraId="31A28C3D">
      <w:pPr>
        <w:widowControl/>
        <w:shd w:val="clear"/>
        <w:topLinePunct/>
        <w:autoSpaceDE w:val="0"/>
        <w:autoSpaceDN w:val="0"/>
        <w:adjustRightInd w:val="0"/>
        <w:snapToGrid w:val="0"/>
        <w:textAlignment w:val="baseline"/>
        <w:rPr>
          <w:rFonts w:ascii="宋体" w:hAnsi="宋体" w:eastAsia="宋体" w:cs="黑体"/>
          <w:color w:val="auto"/>
          <w:highlight w:val="none"/>
        </w:rPr>
      </w:pPr>
    </w:p>
    <w:p w14:paraId="14A441ED">
      <w:pPr>
        <w:widowControl/>
        <w:shd w:val="clear"/>
        <w:topLinePunct/>
        <w:autoSpaceDE w:val="0"/>
        <w:autoSpaceDN w:val="0"/>
        <w:adjustRightInd w:val="0"/>
        <w:snapToGrid w:val="0"/>
        <w:textAlignment w:val="baseline"/>
        <w:rPr>
          <w:rFonts w:ascii="宋体" w:hAnsi="宋体" w:eastAsia="宋体" w:cs="黑体"/>
          <w:color w:val="auto"/>
          <w:highlight w:val="none"/>
        </w:rPr>
      </w:pPr>
    </w:p>
    <w:p w14:paraId="703AAF75">
      <w:pPr>
        <w:keepNext w:val="0"/>
        <w:keepLines w:val="0"/>
        <w:pageBreakBefore w:val="0"/>
        <w:widowControl/>
        <w:shd w:val="clear"/>
        <w:kinsoku/>
        <w:wordWrap/>
        <w:overflowPunct/>
        <w:topLinePunct/>
        <w:autoSpaceDE w:val="0"/>
        <w:autoSpaceDN w:val="0"/>
        <w:bidi w:val="0"/>
        <w:adjustRightInd w:val="0"/>
        <w:snapToGrid w:val="0"/>
        <w:spacing w:line="360" w:lineRule="auto"/>
        <w:ind w:firstLine="0" w:firstLineChars="0"/>
        <w:textAlignment w:val="baseline"/>
        <w:rPr>
          <w:rFonts w:ascii="宋体" w:hAnsi="宋体" w:eastAsia="宋体" w:cs="黑体"/>
          <w:color w:val="auto"/>
          <w:highlight w:val="none"/>
        </w:rPr>
      </w:pPr>
    </w:p>
    <w:p w14:paraId="40E63C38">
      <w:pPr>
        <w:keepNext w:val="0"/>
        <w:keepLines w:val="0"/>
        <w:pageBreakBefore w:val="0"/>
        <w:widowControl/>
        <w:shd w:val="clear"/>
        <w:kinsoku/>
        <w:wordWrap/>
        <w:overflowPunct/>
        <w:topLinePunct/>
        <w:autoSpaceDE w:val="0"/>
        <w:autoSpaceDN w:val="0"/>
        <w:bidi w:val="0"/>
        <w:adjustRightInd w:val="0"/>
        <w:snapToGrid w:val="0"/>
        <w:spacing w:line="360" w:lineRule="auto"/>
        <w:ind w:firstLine="0" w:firstLineChars="0"/>
        <w:textAlignment w:val="baseline"/>
        <w:rPr>
          <w:rFonts w:ascii="宋体" w:hAnsi="宋体" w:eastAsia="宋体" w:cs="黑体"/>
          <w:color w:val="auto"/>
          <w:highlight w:val="none"/>
        </w:rPr>
      </w:pPr>
    </w:p>
    <w:p w14:paraId="1A7F2668">
      <w:pPr>
        <w:keepNext w:val="0"/>
        <w:keepLines w:val="0"/>
        <w:pageBreakBefore w:val="0"/>
        <w:widowControl/>
        <w:shd w:val="clear"/>
        <w:kinsoku/>
        <w:wordWrap/>
        <w:overflowPunct/>
        <w:topLinePunct/>
        <w:autoSpaceDE w:val="0"/>
        <w:autoSpaceDN w:val="0"/>
        <w:bidi w:val="0"/>
        <w:adjustRightInd w:val="0"/>
        <w:snapToGrid w:val="0"/>
        <w:spacing w:line="360" w:lineRule="auto"/>
        <w:ind w:firstLine="0" w:firstLineChars="0"/>
        <w:jc w:val="center"/>
        <w:textAlignment w:val="baseline"/>
        <w:rPr>
          <w:rFonts w:hint="eastAsia" w:ascii="黑体" w:hAnsi="黑体" w:eastAsia="黑体" w:cs="黑体"/>
          <w:b/>
          <w:bCs/>
          <w:color w:val="auto"/>
          <w:sz w:val="52"/>
          <w:szCs w:val="52"/>
          <w:highlight w:val="none"/>
        </w:rPr>
      </w:pPr>
      <w:r>
        <w:rPr>
          <w:rFonts w:hint="eastAsia" w:ascii="黑体" w:hAnsi="黑体" w:eastAsia="黑体" w:cs="黑体"/>
          <w:b/>
          <w:bCs/>
          <w:color w:val="auto"/>
          <w:sz w:val="52"/>
          <w:szCs w:val="52"/>
          <w:highlight w:val="none"/>
        </w:rPr>
        <w:t>西安市人民医院(西安市第四医院)</w:t>
      </w:r>
    </w:p>
    <w:p w14:paraId="0FAFB8E1">
      <w:pPr>
        <w:keepNext w:val="0"/>
        <w:keepLines w:val="0"/>
        <w:pageBreakBefore w:val="0"/>
        <w:widowControl/>
        <w:shd w:val="clear"/>
        <w:kinsoku/>
        <w:wordWrap/>
        <w:overflowPunct/>
        <w:topLinePunct/>
        <w:autoSpaceDE w:val="0"/>
        <w:autoSpaceDN w:val="0"/>
        <w:bidi w:val="0"/>
        <w:adjustRightInd w:val="0"/>
        <w:snapToGrid w:val="0"/>
        <w:spacing w:line="360" w:lineRule="auto"/>
        <w:ind w:firstLine="0" w:firstLineChars="0"/>
        <w:jc w:val="center"/>
        <w:textAlignment w:val="baseline"/>
        <w:rPr>
          <w:rFonts w:hint="eastAsia" w:ascii="黑体" w:hAnsi="黑体" w:eastAsia="黑体" w:cs="黑体"/>
          <w:b/>
          <w:bCs/>
          <w:color w:val="auto"/>
          <w:sz w:val="52"/>
          <w:szCs w:val="52"/>
          <w:highlight w:val="none"/>
        </w:rPr>
      </w:pPr>
      <w:r>
        <w:rPr>
          <w:rFonts w:hint="eastAsia" w:ascii="黑体" w:hAnsi="黑体" w:eastAsia="黑体" w:cs="黑体"/>
          <w:b/>
          <w:bCs/>
          <w:color w:val="auto"/>
          <w:sz w:val="52"/>
          <w:szCs w:val="52"/>
          <w:highlight w:val="none"/>
        </w:rPr>
        <w:t>服 务 合 同</w:t>
      </w:r>
    </w:p>
    <w:p w14:paraId="4AFB0E5D">
      <w:pPr>
        <w:widowControl/>
        <w:shd w:val="clear"/>
        <w:topLinePunct/>
        <w:autoSpaceDE w:val="0"/>
        <w:autoSpaceDN w:val="0"/>
        <w:adjustRightInd w:val="0"/>
        <w:snapToGrid w:val="0"/>
        <w:jc w:val="center"/>
        <w:textAlignment w:val="baseline"/>
        <w:rPr>
          <w:rFonts w:ascii="宋体" w:hAnsi="宋体" w:eastAsia="宋体" w:cs="黑体"/>
          <w:color w:val="auto"/>
          <w:highlight w:val="none"/>
        </w:rPr>
      </w:pPr>
    </w:p>
    <w:p w14:paraId="232E9EEC">
      <w:pPr>
        <w:widowControl/>
        <w:shd w:val="clear"/>
        <w:topLinePunct/>
        <w:autoSpaceDE w:val="0"/>
        <w:autoSpaceDN w:val="0"/>
        <w:adjustRightInd w:val="0"/>
        <w:snapToGrid w:val="0"/>
        <w:textAlignment w:val="baseline"/>
        <w:rPr>
          <w:rFonts w:hint="eastAsia" w:ascii="宋体" w:hAnsi="宋体" w:eastAsia="宋体" w:cs="黑体"/>
          <w:color w:val="auto"/>
          <w:highlight w:val="none"/>
          <w:lang w:eastAsia="zh-CN"/>
        </w:rPr>
      </w:pPr>
    </w:p>
    <w:p w14:paraId="01233780">
      <w:pPr>
        <w:widowControl/>
        <w:shd w:val="clear"/>
        <w:topLinePunct/>
        <w:autoSpaceDE w:val="0"/>
        <w:autoSpaceDN w:val="0"/>
        <w:adjustRightInd w:val="0"/>
        <w:snapToGrid w:val="0"/>
        <w:ind w:left="0" w:leftChars="0" w:firstLine="0" w:firstLineChars="0"/>
        <w:textAlignment w:val="baseline"/>
        <w:rPr>
          <w:rFonts w:hint="eastAsia" w:ascii="宋体" w:hAnsi="宋体" w:eastAsia="宋体" w:cs="黑体"/>
          <w:color w:val="auto"/>
          <w:highlight w:val="none"/>
          <w:lang w:eastAsia="zh-CN"/>
        </w:rPr>
      </w:pPr>
    </w:p>
    <w:p w14:paraId="19A0A3F8">
      <w:pPr>
        <w:widowControl/>
        <w:shd w:val="clear"/>
        <w:topLinePunct/>
        <w:autoSpaceDE w:val="0"/>
        <w:autoSpaceDN w:val="0"/>
        <w:adjustRightInd w:val="0"/>
        <w:snapToGrid w:val="0"/>
        <w:textAlignment w:val="baseline"/>
        <w:rPr>
          <w:rFonts w:hint="eastAsia" w:ascii="宋体" w:hAnsi="宋体" w:eastAsia="宋体" w:cs="黑体"/>
          <w:color w:val="auto"/>
          <w:highlight w:val="none"/>
          <w:lang w:eastAsia="zh-CN"/>
        </w:rPr>
      </w:pPr>
    </w:p>
    <w:p w14:paraId="3BDE58BF">
      <w:pPr>
        <w:pStyle w:val="2"/>
        <w:rPr>
          <w:rFonts w:hint="eastAsia" w:ascii="宋体" w:hAnsi="宋体" w:eastAsia="宋体" w:cs="黑体"/>
          <w:color w:val="auto"/>
          <w:highlight w:val="none"/>
          <w:lang w:eastAsia="zh-CN"/>
        </w:rPr>
      </w:pPr>
    </w:p>
    <w:p w14:paraId="3346265B">
      <w:pPr>
        <w:pStyle w:val="2"/>
        <w:rPr>
          <w:rFonts w:hint="eastAsia" w:ascii="宋体" w:hAnsi="宋体" w:eastAsia="宋体" w:cs="黑体"/>
          <w:color w:val="auto"/>
          <w:highlight w:val="none"/>
          <w:lang w:eastAsia="zh-CN"/>
        </w:rPr>
      </w:pPr>
      <w:bookmarkStart w:id="0" w:name="_GoBack"/>
      <w:bookmarkEnd w:id="0"/>
    </w:p>
    <w:p w14:paraId="38D8A3B5">
      <w:pPr>
        <w:widowControl/>
        <w:shd w:val="clear"/>
        <w:topLinePunct/>
        <w:autoSpaceDE w:val="0"/>
        <w:autoSpaceDN w:val="0"/>
        <w:adjustRightInd w:val="0"/>
        <w:snapToGrid w:val="0"/>
        <w:jc w:val="center"/>
        <w:textAlignment w:val="baseline"/>
        <w:rPr>
          <w:rFonts w:hint="eastAsia" w:ascii="宋体" w:hAnsi="宋体" w:eastAsia="宋体" w:cs="宋体"/>
          <w:color w:val="auto"/>
          <w:highlight w:val="none"/>
        </w:rPr>
      </w:pPr>
    </w:p>
    <w:p w14:paraId="59359031">
      <w:pPr>
        <w:widowControl/>
        <w:shd w:val="clear"/>
        <w:topLinePunct/>
        <w:autoSpaceDE w:val="0"/>
        <w:autoSpaceDN w:val="0"/>
        <w:adjustRightInd w:val="0"/>
        <w:snapToGrid w:val="0"/>
        <w:jc w:val="center"/>
        <w:textAlignment w:val="baseline"/>
        <w:rPr>
          <w:rFonts w:hint="eastAsia" w:ascii="黑体" w:hAnsi="黑体" w:eastAsia="黑体" w:cs="黑体"/>
          <w:color w:val="auto"/>
          <w:highlight w:val="none"/>
        </w:rPr>
      </w:pPr>
    </w:p>
    <w:p w14:paraId="3E57F98B">
      <w:pPr>
        <w:keepNext w:val="0"/>
        <w:keepLines w:val="0"/>
        <w:pageBreakBefore w:val="0"/>
        <w:widowControl/>
        <w:shd w:val="clear"/>
        <w:kinsoku/>
        <w:wordWrap/>
        <w:overflowPunct/>
        <w:topLinePunct/>
        <w:autoSpaceDE w:val="0"/>
        <w:autoSpaceDN w:val="0"/>
        <w:bidi w:val="0"/>
        <w:adjustRightInd w:val="0"/>
        <w:snapToGrid w:val="0"/>
        <w:spacing w:line="360" w:lineRule="auto"/>
        <w:ind w:left="1696" w:leftChars="800" w:hanging="16" w:hangingChars="5"/>
        <w:textAlignment w:val="baseline"/>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甲  方：西安市人民医院(西安市第四医院)</w:t>
      </w:r>
    </w:p>
    <w:p w14:paraId="22895AAA">
      <w:pPr>
        <w:widowControl/>
        <w:shd w:val="clear"/>
        <w:topLinePunct/>
        <w:autoSpaceDE w:val="0"/>
        <w:autoSpaceDN w:val="0"/>
        <w:adjustRightInd w:val="0"/>
        <w:snapToGrid w:val="0"/>
        <w:ind w:left="1696" w:leftChars="800" w:hanging="16" w:hangingChars="5"/>
        <w:jc w:val="left"/>
        <w:textAlignment w:val="baseline"/>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乙  方：</w:t>
      </w:r>
    </w:p>
    <w:p w14:paraId="00BD1B20">
      <w:pPr>
        <w:widowControl/>
        <w:shd w:val="clear"/>
        <w:topLinePunct/>
        <w:autoSpaceDE w:val="0"/>
        <w:autoSpaceDN w:val="0"/>
        <w:adjustRightInd w:val="0"/>
        <w:snapToGrid w:val="0"/>
        <w:ind w:left="1696" w:leftChars="800" w:hanging="16" w:hangingChars="5"/>
        <w:textAlignment w:val="baseline"/>
        <w:rPr>
          <w:rFonts w:hint="eastAsia" w:ascii="宋体" w:hAnsi="宋体" w:eastAsia="宋体" w:cs="宋体"/>
          <w:color w:val="auto"/>
          <w:sz w:val="32"/>
          <w:szCs w:val="32"/>
          <w:highlight w:val="none"/>
        </w:rPr>
      </w:pPr>
    </w:p>
    <w:p w14:paraId="1909F355">
      <w:pPr>
        <w:widowControl/>
        <w:shd w:val="clear"/>
        <w:topLinePunct/>
        <w:autoSpaceDE w:val="0"/>
        <w:autoSpaceDN w:val="0"/>
        <w:adjustRightInd w:val="0"/>
        <w:snapToGrid w:val="0"/>
        <w:jc w:val="center"/>
        <w:textAlignment w:val="baseline"/>
        <w:rPr>
          <w:rFonts w:hint="eastAsia" w:ascii="宋体" w:hAnsi="宋体" w:eastAsia="宋体" w:cs="宋体"/>
          <w:color w:val="auto"/>
          <w:sz w:val="32"/>
          <w:szCs w:val="32"/>
          <w:highlight w:val="none"/>
        </w:rPr>
      </w:pPr>
    </w:p>
    <w:p w14:paraId="7488B819">
      <w:pPr>
        <w:widowControl/>
        <w:shd w:val="clear"/>
        <w:topLinePunct/>
        <w:autoSpaceDE w:val="0"/>
        <w:autoSpaceDN w:val="0"/>
        <w:adjustRightInd w:val="0"/>
        <w:snapToGrid w:val="0"/>
        <w:jc w:val="center"/>
        <w:textAlignment w:val="baseline"/>
        <w:rPr>
          <w:rFonts w:hint="eastAsia" w:ascii="黑体" w:hAnsi="黑体" w:eastAsia="黑体" w:cs="黑体"/>
          <w:color w:val="auto"/>
          <w:sz w:val="32"/>
          <w:szCs w:val="32"/>
          <w:highlight w:val="none"/>
        </w:rPr>
      </w:pPr>
    </w:p>
    <w:p w14:paraId="32621A0B">
      <w:pPr>
        <w:widowControl/>
        <w:shd w:val="clear"/>
        <w:topLinePunct/>
        <w:autoSpaceDE w:val="0"/>
        <w:autoSpaceDN w:val="0"/>
        <w:adjustRightInd w:val="0"/>
        <w:snapToGrid w:val="0"/>
        <w:jc w:val="center"/>
        <w:textAlignment w:val="baseline"/>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202</w:t>
      </w:r>
      <w:r>
        <w:rPr>
          <w:rFonts w:hint="eastAsia" w:ascii="黑体" w:hAnsi="黑体" w:eastAsia="黑体" w:cs="黑体"/>
          <w:color w:val="auto"/>
          <w:sz w:val="32"/>
          <w:szCs w:val="32"/>
          <w:highlight w:val="none"/>
          <w:lang w:val="en-US" w:eastAsia="zh-CN"/>
        </w:rPr>
        <w:t>5</w:t>
      </w:r>
      <w:r>
        <w:rPr>
          <w:rFonts w:hint="eastAsia" w:ascii="黑体" w:hAnsi="黑体" w:eastAsia="黑体" w:cs="黑体"/>
          <w:color w:val="auto"/>
          <w:sz w:val="32"/>
          <w:szCs w:val="32"/>
          <w:highlight w:val="none"/>
        </w:rPr>
        <w:t>年</w:t>
      </w:r>
      <w:r>
        <w:rPr>
          <w:rFonts w:hint="eastAsia" w:ascii="黑体" w:hAnsi="黑体" w:eastAsia="黑体" w:cs="黑体"/>
          <w:color w:val="auto"/>
          <w:sz w:val="32"/>
          <w:szCs w:val="32"/>
          <w:highlight w:val="none"/>
          <w:lang w:val="en-US" w:eastAsia="zh-CN"/>
        </w:rPr>
        <w:t xml:space="preserve">  </w:t>
      </w:r>
      <w:r>
        <w:rPr>
          <w:rFonts w:hint="eastAsia" w:ascii="黑体" w:hAnsi="黑体" w:eastAsia="黑体" w:cs="黑体"/>
          <w:color w:val="auto"/>
          <w:sz w:val="32"/>
          <w:szCs w:val="32"/>
          <w:highlight w:val="none"/>
        </w:rPr>
        <w:t>月</w:t>
      </w:r>
    </w:p>
    <w:p w14:paraId="464FF8AE">
      <w:pPr>
        <w:widowControl/>
        <w:shd w:val="clear"/>
        <w:topLinePunct/>
        <w:autoSpaceDE w:val="0"/>
        <w:autoSpaceDN w:val="0"/>
        <w:adjustRightInd w:val="0"/>
        <w:snapToGrid w:val="0"/>
        <w:jc w:val="center"/>
        <w:textAlignment w:val="baseline"/>
        <w:rPr>
          <w:rFonts w:hint="eastAsia" w:ascii="仿宋" w:hAnsi="仿宋" w:eastAsia="仿宋" w:cs="仿宋"/>
          <w:b/>
          <w:bCs/>
          <w:color w:val="auto"/>
          <w:sz w:val="36"/>
          <w:szCs w:val="36"/>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黑体" w:hAnsi="黑体" w:eastAsia="黑体" w:cs="黑体"/>
          <w:color w:val="auto"/>
          <w:sz w:val="32"/>
          <w:szCs w:val="32"/>
          <w:highlight w:val="none"/>
        </w:rPr>
        <w:t>中国 西安</w:t>
      </w:r>
    </w:p>
    <w:p w14:paraId="420DE32D">
      <w:pPr>
        <w:keepNext w:val="0"/>
        <w:keepLines w:val="0"/>
        <w:pageBreakBefore w:val="0"/>
        <w:widowControl/>
        <w:shd w:val="clear"/>
        <w:kinsoku/>
        <w:wordWrap/>
        <w:overflowPunct/>
        <w:topLinePunct/>
        <w:autoSpaceDE/>
        <w:autoSpaceDN/>
        <w:bidi w:val="0"/>
        <w:adjustRightInd w:val="0"/>
        <w:snapToGrid/>
        <w:spacing w:line="360" w:lineRule="auto"/>
        <w:jc w:val="center"/>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服 务 合 同</w:t>
      </w:r>
    </w:p>
    <w:p w14:paraId="5B27AFB7">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  方：</w:t>
      </w:r>
    </w:p>
    <w:p w14:paraId="0ACDA6F4">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  方：</w:t>
      </w:r>
    </w:p>
    <w:p w14:paraId="74B46509">
      <w:pPr>
        <w:keepNext w:val="0"/>
        <w:keepLines w:val="0"/>
        <w:pageBreakBefore w:val="0"/>
        <w:widowControl/>
        <w:shd w:val="clear"/>
        <w:kinsoku/>
        <w:wordWrap/>
        <w:overflowPunct/>
        <w:topLinePunct/>
        <w:autoSpaceDE/>
        <w:autoSpaceDN/>
        <w:bidi w:val="0"/>
        <w:adjustRightInd w:val="0"/>
        <w:snapToGrid/>
        <w:spacing w:line="360" w:lineRule="auto"/>
        <w:ind w:firstLine="600" w:firstLineChars="3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就甲方所需服务，按照采购程序组织招标，确定乙方为中标投标人。依据《中华人民共和国招标投标法》及实施条例、《中华人民共和国政府采购法》及实施条例、《中华人民共和国民法典》、乙方投标文件正本、中标通知书，经甲、乙双方协商确认，达成如下条款。</w:t>
      </w:r>
    </w:p>
    <w:p w14:paraId="0269A942">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一、合同标的物内容及数量</w:t>
      </w:r>
    </w:p>
    <w:tbl>
      <w:tblPr>
        <w:tblStyle w:val="6"/>
        <w:tblW w:w="8638"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8"/>
        <w:gridCol w:w="2715"/>
        <w:gridCol w:w="1635"/>
        <w:gridCol w:w="1005"/>
        <w:gridCol w:w="2475"/>
      </w:tblGrid>
      <w:tr w14:paraId="5CC8D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808" w:type="dxa"/>
            <w:noWrap w:val="0"/>
            <w:vAlign w:val="center"/>
          </w:tcPr>
          <w:p w14:paraId="41361E5F">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序号</w:t>
            </w:r>
          </w:p>
        </w:tc>
        <w:tc>
          <w:tcPr>
            <w:tcW w:w="2715" w:type="dxa"/>
            <w:noWrap w:val="0"/>
            <w:vAlign w:val="center"/>
          </w:tcPr>
          <w:p w14:paraId="2B2CE0B4">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名称</w:t>
            </w:r>
          </w:p>
        </w:tc>
        <w:tc>
          <w:tcPr>
            <w:tcW w:w="1635" w:type="dxa"/>
            <w:noWrap w:val="0"/>
            <w:vAlign w:val="center"/>
          </w:tcPr>
          <w:p w14:paraId="2AA3F511">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单价（元）</w:t>
            </w:r>
          </w:p>
        </w:tc>
        <w:tc>
          <w:tcPr>
            <w:tcW w:w="1005" w:type="dxa"/>
            <w:noWrap w:val="0"/>
            <w:vAlign w:val="center"/>
          </w:tcPr>
          <w:p w14:paraId="063D56C3">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数量</w:t>
            </w:r>
          </w:p>
        </w:tc>
        <w:tc>
          <w:tcPr>
            <w:tcW w:w="2475" w:type="dxa"/>
            <w:noWrap w:val="0"/>
            <w:vAlign w:val="center"/>
          </w:tcPr>
          <w:p w14:paraId="7636F34E">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合计（元）(小写)</w:t>
            </w:r>
          </w:p>
        </w:tc>
      </w:tr>
      <w:tr w14:paraId="3B55B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808" w:type="dxa"/>
            <w:noWrap w:val="0"/>
            <w:vAlign w:val="center"/>
          </w:tcPr>
          <w:p w14:paraId="7F3EC157">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p>
        </w:tc>
        <w:tc>
          <w:tcPr>
            <w:tcW w:w="2715" w:type="dxa"/>
            <w:noWrap w:val="0"/>
            <w:vAlign w:val="center"/>
          </w:tcPr>
          <w:p w14:paraId="17E1D09A">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p>
        </w:tc>
        <w:tc>
          <w:tcPr>
            <w:tcW w:w="1635" w:type="dxa"/>
            <w:noWrap w:val="0"/>
            <w:vAlign w:val="center"/>
          </w:tcPr>
          <w:p w14:paraId="1B05F2F3">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lang w:val="en-US" w:eastAsia="zh-CN"/>
              </w:rPr>
            </w:pPr>
          </w:p>
        </w:tc>
        <w:tc>
          <w:tcPr>
            <w:tcW w:w="1005" w:type="dxa"/>
            <w:noWrap w:val="0"/>
            <w:vAlign w:val="center"/>
          </w:tcPr>
          <w:p w14:paraId="1B1F308C">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rPr>
            </w:pPr>
          </w:p>
        </w:tc>
        <w:tc>
          <w:tcPr>
            <w:tcW w:w="2475" w:type="dxa"/>
            <w:noWrap w:val="0"/>
            <w:vAlign w:val="center"/>
          </w:tcPr>
          <w:p w14:paraId="0EFB0E0E">
            <w:pPr>
              <w:keepNext w:val="0"/>
              <w:keepLines w:val="0"/>
              <w:pageBreakBefore w:val="0"/>
              <w:widowControl/>
              <w:shd w:val="clear"/>
              <w:kinsoku/>
              <w:wordWrap/>
              <w:overflowPunct/>
              <w:topLinePunct/>
              <w:autoSpaceDE/>
              <w:autoSpaceDN/>
              <w:bidi w:val="0"/>
              <w:adjustRightInd w:val="0"/>
              <w:snapToGrid/>
              <w:spacing w:line="360" w:lineRule="auto"/>
              <w:ind w:firstLine="0" w:firstLineChars="0"/>
              <w:jc w:val="center"/>
              <w:textAlignment w:val="baseline"/>
              <w:rPr>
                <w:rFonts w:hint="eastAsia" w:ascii="宋体" w:hAnsi="宋体" w:eastAsia="宋体" w:cs="宋体"/>
                <w:color w:val="auto"/>
                <w:kern w:val="0"/>
                <w:sz w:val="20"/>
                <w:szCs w:val="20"/>
                <w:highlight w:val="none"/>
                <w:lang w:val="en-US" w:eastAsia="zh-CN"/>
              </w:rPr>
            </w:pPr>
          </w:p>
        </w:tc>
      </w:tr>
      <w:tr w14:paraId="47C64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8638" w:type="dxa"/>
            <w:gridSpan w:val="5"/>
            <w:noWrap w:val="0"/>
            <w:vAlign w:val="center"/>
          </w:tcPr>
          <w:p w14:paraId="2E3FC4B0">
            <w:pPr>
              <w:keepNext w:val="0"/>
              <w:keepLines w:val="0"/>
              <w:pageBreakBefore w:val="0"/>
              <w:widowControl/>
              <w:shd w:val="clear"/>
              <w:kinsoku/>
              <w:wordWrap/>
              <w:overflowPunct/>
              <w:topLinePunct/>
              <w:autoSpaceDE/>
              <w:autoSpaceDN/>
              <w:bidi w:val="0"/>
              <w:adjustRightInd w:val="0"/>
              <w:snapToGrid/>
              <w:spacing w:line="360" w:lineRule="auto"/>
              <w:ind w:firstLine="0" w:firstLineChars="0"/>
              <w:textAlignment w:val="baseline"/>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合同金额人民币(大写):</w:t>
            </w:r>
            <w:r>
              <w:rPr>
                <w:rFonts w:hint="eastAsia" w:ascii="宋体" w:hAnsi="宋体" w:eastAsia="宋体" w:cs="宋体"/>
                <w:color w:val="auto"/>
                <w:kern w:val="0"/>
                <w:sz w:val="20"/>
                <w:szCs w:val="20"/>
                <w:highlight w:val="none"/>
                <w:u w:val="single"/>
                <w:lang w:val="en-US" w:eastAsia="zh-CN"/>
              </w:rPr>
              <w:t xml:space="preserve">    </w:t>
            </w:r>
            <w:r>
              <w:rPr>
                <w:rFonts w:hint="eastAsia" w:ascii="宋体" w:hAnsi="宋体" w:eastAsia="宋体" w:cs="宋体"/>
                <w:color w:val="auto"/>
                <w:kern w:val="0"/>
                <w:sz w:val="20"/>
                <w:szCs w:val="20"/>
                <w:highlight w:val="none"/>
                <w:lang w:val="en-US" w:eastAsia="zh-CN"/>
              </w:rPr>
              <w:t>元</w:t>
            </w:r>
            <w:r>
              <w:rPr>
                <w:rFonts w:hint="eastAsia" w:ascii="宋体" w:hAnsi="宋体" w:eastAsia="宋体" w:cs="宋体"/>
                <w:color w:val="auto"/>
                <w:kern w:val="0"/>
                <w:sz w:val="20"/>
                <w:szCs w:val="20"/>
                <w:highlight w:val="none"/>
              </w:rPr>
              <w:t>整</w:t>
            </w:r>
            <w:r>
              <w:rPr>
                <w:rFonts w:hint="eastAsia" w:ascii="宋体" w:hAnsi="宋体" w:eastAsia="宋体" w:cs="宋体"/>
                <w:color w:val="auto"/>
                <w:kern w:val="0"/>
                <w:sz w:val="20"/>
                <w:szCs w:val="20"/>
                <w:highlight w:val="none"/>
                <w:lang w:val="en-US" w:eastAsia="zh-CN"/>
              </w:rPr>
              <w:t xml:space="preserve">  </w:t>
            </w:r>
            <w:r>
              <w:rPr>
                <w:rFonts w:hint="eastAsia" w:ascii="宋体" w:hAnsi="宋体" w:eastAsia="宋体" w:cs="宋体"/>
                <w:color w:val="auto"/>
                <w:kern w:val="0"/>
                <w:sz w:val="20"/>
                <w:szCs w:val="20"/>
                <w:highlight w:val="none"/>
              </w:rPr>
              <w:t>(</w:t>
            </w:r>
            <w:r>
              <w:rPr>
                <w:rFonts w:hint="eastAsia" w:ascii="宋体" w:hAnsi="宋体" w:eastAsia="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u w:val="single"/>
                <w:lang w:val="en-US" w:eastAsia="zh-CN"/>
              </w:rPr>
              <w:t xml:space="preserve">      </w:t>
            </w:r>
            <w:r>
              <w:rPr>
                <w:rFonts w:hint="eastAsia" w:ascii="宋体" w:hAnsi="宋体" w:eastAsia="宋体" w:cs="宋体"/>
                <w:color w:val="auto"/>
                <w:kern w:val="0"/>
                <w:sz w:val="20"/>
                <w:szCs w:val="20"/>
                <w:highlight w:val="none"/>
              </w:rPr>
              <w:t>元)</w:t>
            </w:r>
          </w:p>
        </w:tc>
      </w:tr>
    </w:tbl>
    <w:p w14:paraId="76761CEE">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二、服务内容、范围及要求</w:t>
      </w:r>
    </w:p>
    <w:p w14:paraId="41F7B999">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详见附件1：采购需求内容相关条款及后附运维服务设备清单。</w:t>
      </w:r>
    </w:p>
    <w:p w14:paraId="7C6FD7B3">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三、服务条件</w:t>
      </w:r>
    </w:p>
    <w:p w14:paraId="7504A3C9">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 服务期：</w:t>
      </w:r>
      <w:r>
        <w:rPr>
          <w:rFonts w:hint="eastAsia" w:ascii="宋体" w:hAnsi="宋体" w:eastAsia="宋体" w:cs="宋体"/>
          <w:color w:val="auto"/>
          <w:sz w:val="20"/>
          <w:szCs w:val="20"/>
          <w:highlight w:val="none"/>
          <w:lang w:eastAsia="zh-CN"/>
        </w:rPr>
        <w:t>2026年6月1日-2027年12月31日</w:t>
      </w:r>
    </w:p>
    <w:p w14:paraId="71279F06">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 服务地点：甲方指定地点（包含</w:t>
      </w:r>
      <w:r>
        <w:rPr>
          <w:rFonts w:hint="eastAsia" w:ascii="宋体" w:hAnsi="宋体" w:eastAsia="宋体" w:cs="宋体"/>
          <w:color w:val="auto"/>
          <w:sz w:val="20"/>
          <w:szCs w:val="20"/>
          <w:highlight w:val="none"/>
          <w:lang w:val="en-US" w:eastAsia="zh-CN"/>
        </w:rPr>
        <w:t>大差市院区及航天城院区</w:t>
      </w:r>
      <w:r>
        <w:rPr>
          <w:rFonts w:hint="eastAsia" w:ascii="宋体" w:hAnsi="宋体" w:eastAsia="宋体" w:cs="宋体"/>
          <w:color w:val="auto"/>
          <w:sz w:val="20"/>
          <w:szCs w:val="20"/>
          <w:highlight w:val="none"/>
        </w:rPr>
        <w:t>业务范围）。</w:t>
      </w:r>
    </w:p>
    <w:p w14:paraId="451FD1A7">
      <w:pPr>
        <w:keepNext w:val="0"/>
        <w:keepLines w:val="0"/>
        <w:pageBreakBefore w:val="0"/>
        <w:shd w:val="clear"/>
        <w:kinsoku/>
        <w:wordWrap/>
        <w:overflowPunct/>
        <w:autoSpaceDE/>
        <w:autoSpaceDN/>
        <w:bidi w:val="0"/>
        <w:snapToGrid/>
        <w:spacing w:line="360" w:lineRule="auto"/>
        <w:ind w:firstLine="200" w:firstLineChars="1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 入场时间：</w:t>
      </w:r>
      <w:r>
        <w:rPr>
          <w:rFonts w:hint="eastAsia" w:ascii="宋体" w:hAnsi="宋体" w:eastAsia="宋体" w:cs="宋体"/>
          <w:color w:val="auto"/>
          <w:sz w:val="20"/>
          <w:szCs w:val="20"/>
          <w:highlight w:val="none"/>
          <w:lang w:val="en-US" w:eastAsia="zh-CN"/>
        </w:rPr>
        <w:t>合同签订之后，服务期开始前，</w:t>
      </w:r>
      <w:r>
        <w:rPr>
          <w:rFonts w:hint="eastAsia" w:ascii="宋体" w:hAnsi="宋体" w:eastAsia="宋体" w:cs="宋体"/>
          <w:color w:val="auto"/>
          <w:sz w:val="20"/>
          <w:szCs w:val="20"/>
          <w:highlight w:val="none"/>
        </w:rPr>
        <w:t>乙方提出入场申请，甲方根据合同要求对乙方人员资质及配置、服务方案、管理制度实施方案等文档进行审核备案，符合本合同约定的，经甲方书面同意后按照甲方要求的时限完成项目入场。对于不符合合同规定的，甲方</w:t>
      </w:r>
      <w:r>
        <w:rPr>
          <w:rFonts w:hint="eastAsia" w:ascii="宋体" w:hAnsi="宋体" w:eastAsia="宋体" w:cs="宋体"/>
          <w:color w:val="auto"/>
          <w:sz w:val="20"/>
          <w:szCs w:val="20"/>
          <w:highlight w:val="none"/>
          <w:lang w:val="en-US" w:eastAsia="zh-CN"/>
        </w:rPr>
        <w:t>有权</w:t>
      </w:r>
      <w:r>
        <w:rPr>
          <w:rFonts w:hint="eastAsia" w:ascii="宋体" w:hAnsi="宋体" w:eastAsia="宋体" w:cs="宋体"/>
          <w:color w:val="auto"/>
          <w:sz w:val="20"/>
          <w:szCs w:val="20"/>
          <w:highlight w:val="none"/>
        </w:rPr>
        <w:t>拒绝乙方入场进行运维工作</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正式入场时间</w:t>
      </w:r>
      <w:r>
        <w:rPr>
          <w:rFonts w:hint="eastAsia" w:ascii="宋体" w:hAnsi="宋体" w:eastAsia="宋体" w:cs="宋体"/>
          <w:color w:val="auto"/>
          <w:sz w:val="20"/>
          <w:szCs w:val="20"/>
          <w:highlight w:val="none"/>
        </w:rPr>
        <w:t>每推迟一天扣合同暂定总价的</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 xml:space="preserve">作为违约金 </w:t>
      </w:r>
      <w:r>
        <w:rPr>
          <w:rFonts w:hint="eastAsia" w:ascii="宋体" w:hAnsi="宋体" w:eastAsia="宋体" w:cs="宋体"/>
          <w:color w:val="auto"/>
          <w:sz w:val="20"/>
          <w:szCs w:val="20"/>
          <w:highlight w:val="none"/>
          <w:lang w:val="en-US" w:eastAsia="zh-CN"/>
        </w:rPr>
        <w:t>，服务期开始后7</w:t>
      </w:r>
      <w:r>
        <w:rPr>
          <w:rFonts w:hint="eastAsia" w:ascii="宋体" w:hAnsi="宋体" w:eastAsia="宋体" w:cs="宋体"/>
          <w:color w:val="auto"/>
          <w:sz w:val="20"/>
          <w:szCs w:val="20"/>
          <w:highlight w:val="none"/>
        </w:rPr>
        <w:t>天内仍未达到甲方入场要求的，甲方有权单方面解除合同，保留进一步追究法律责任的权利</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乙方应当按照本合同第十一条承担违约责任</w:t>
      </w:r>
      <w:r>
        <w:rPr>
          <w:rFonts w:hint="eastAsia" w:ascii="宋体" w:hAnsi="宋体" w:eastAsia="宋体" w:cs="宋体"/>
          <w:color w:val="auto"/>
          <w:sz w:val="20"/>
          <w:szCs w:val="20"/>
          <w:highlight w:val="none"/>
        </w:rPr>
        <w:t>。</w:t>
      </w:r>
    </w:p>
    <w:p w14:paraId="77DEECD8">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四、合同价款</w:t>
      </w:r>
    </w:p>
    <w:p w14:paraId="5DD1D7ED">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(一)合同总价款人民币(大写):</w:t>
      </w:r>
      <w:r>
        <w:rPr>
          <w:rFonts w:hint="eastAsia" w:ascii="宋体" w:hAnsi="宋体" w:eastAsia="宋体" w:cs="宋体"/>
          <w:color w:val="auto"/>
          <w:kern w:val="0"/>
          <w:sz w:val="20"/>
          <w:szCs w:val="20"/>
          <w:highlight w:val="none"/>
          <w:u w:val="single"/>
          <w:lang w:val="en-US" w:eastAsia="zh-CN"/>
        </w:rPr>
        <w:t xml:space="preserve">    </w:t>
      </w:r>
      <w:r>
        <w:rPr>
          <w:rFonts w:hint="eastAsia" w:ascii="宋体" w:hAnsi="宋体" w:eastAsia="宋体" w:cs="宋体"/>
          <w:color w:val="auto"/>
          <w:kern w:val="0"/>
          <w:sz w:val="20"/>
          <w:szCs w:val="20"/>
          <w:highlight w:val="none"/>
          <w:lang w:val="en-US" w:eastAsia="zh-CN"/>
        </w:rPr>
        <w:t>元</w:t>
      </w:r>
      <w:r>
        <w:rPr>
          <w:rFonts w:hint="eastAsia" w:ascii="宋体" w:hAnsi="宋体" w:eastAsia="宋体" w:cs="宋体"/>
          <w:color w:val="auto"/>
          <w:kern w:val="0"/>
          <w:sz w:val="20"/>
          <w:szCs w:val="20"/>
          <w:highlight w:val="none"/>
        </w:rPr>
        <w:t>整</w:t>
      </w:r>
      <w:r>
        <w:rPr>
          <w:rFonts w:hint="eastAsia" w:ascii="宋体" w:hAnsi="宋体" w:eastAsia="宋体" w:cs="宋体"/>
          <w:color w:val="auto"/>
          <w:kern w:val="0"/>
          <w:sz w:val="20"/>
          <w:szCs w:val="20"/>
          <w:highlight w:val="none"/>
          <w:lang w:val="en-US" w:eastAsia="zh-CN"/>
        </w:rPr>
        <w:t xml:space="preserve">  </w:t>
      </w:r>
      <w:r>
        <w:rPr>
          <w:rFonts w:hint="eastAsia" w:ascii="宋体" w:hAnsi="宋体" w:eastAsia="宋体" w:cs="宋体"/>
          <w:color w:val="auto"/>
          <w:kern w:val="0"/>
          <w:sz w:val="20"/>
          <w:szCs w:val="20"/>
          <w:highlight w:val="none"/>
        </w:rPr>
        <w:t>(</w:t>
      </w:r>
      <w:r>
        <w:rPr>
          <w:rFonts w:hint="eastAsia" w:ascii="宋体" w:hAnsi="宋体" w:eastAsia="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u w:val="single"/>
          <w:lang w:val="en-US" w:eastAsia="zh-CN"/>
        </w:rPr>
        <w:t xml:space="preserve">      </w:t>
      </w:r>
      <w:r>
        <w:rPr>
          <w:rFonts w:hint="eastAsia" w:ascii="宋体" w:hAnsi="宋体" w:eastAsia="宋体" w:cs="宋体"/>
          <w:color w:val="auto"/>
          <w:kern w:val="0"/>
          <w:sz w:val="20"/>
          <w:szCs w:val="20"/>
          <w:highlight w:val="none"/>
        </w:rPr>
        <w:t>元)</w:t>
      </w:r>
    </w:p>
    <w:p w14:paraId="4144C2AA">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(二)合同总价包括：服务费、人工费、交通费、货物运输与仓储费、检测费、配件耗材费、安装调试费、验收、税费、发票等乙方履行合同义务所需的全部费用。</w:t>
      </w:r>
    </w:p>
    <w:p w14:paraId="65C76991">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（三）合同金额一次性包死，不受市场价格变化等因素的影响。</w:t>
      </w:r>
    </w:p>
    <w:p w14:paraId="0BDE9537">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五、款项结算</w:t>
      </w:r>
    </w:p>
    <w:p w14:paraId="3FC7F777">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(一)支付约定</w:t>
      </w:r>
    </w:p>
    <w:p w14:paraId="77BA0AB0">
      <w:pPr>
        <w:keepNext w:val="0"/>
        <w:keepLines w:val="0"/>
        <w:pageBreakBefore w:val="0"/>
        <w:widowControl/>
        <w:shd w:val="clear"/>
        <w:kinsoku/>
        <w:wordWrap/>
        <w:overflowPunct/>
        <w:autoSpaceDE/>
        <w:autoSpaceDN/>
        <w:bidi w:val="0"/>
        <w:snapToGrid/>
        <w:spacing w:line="360" w:lineRule="auto"/>
        <w:ind w:firstLine="400" w:firstLineChars="200"/>
        <w:jc w:val="left"/>
        <w:rPr>
          <w:rFonts w:hint="eastAsia" w:ascii="宋体" w:hAnsi="宋体" w:eastAsia="宋体" w:cs="宋体"/>
          <w:color w:val="auto"/>
          <w:sz w:val="20"/>
          <w:szCs w:val="20"/>
          <w:highlight w:val="none"/>
          <w:lang w:bidi="ar"/>
        </w:rPr>
      </w:pPr>
      <w:r>
        <w:rPr>
          <w:rFonts w:hint="eastAsia" w:ascii="宋体" w:hAnsi="宋体" w:eastAsia="宋体" w:cs="宋体"/>
          <w:color w:val="auto"/>
          <w:kern w:val="0"/>
          <w:sz w:val="20"/>
          <w:szCs w:val="20"/>
          <w:highlight w:val="none"/>
        </w:rPr>
        <w:t>付款条件：</w:t>
      </w:r>
      <w:r>
        <w:rPr>
          <w:rFonts w:hint="eastAsia" w:ascii="宋体" w:hAnsi="宋体" w:eastAsia="宋体" w:cs="宋体"/>
          <w:bCs/>
          <w:color w:val="auto"/>
          <w:kern w:val="0"/>
          <w:sz w:val="20"/>
          <w:szCs w:val="20"/>
          <w:highlight w:val="none"/>
          <w:lang w:eastAsia="zh-Hans"/>
        </w:rPr>
        <w:t>合同签订</w:t>
      </w:r>
      <w:r>
        <w:rPr>
          <w:rFonts w:hint="eastAsia" w:ascii="宋体" w:hAnsi="宋体" w:eastAsia="宋体" w:cs="宋体"/>
          <w:bCs/>
          <w:color w:val="auto"/>
          <w:kern w:val="0"/>
          <w:sz w:val="20"/>
          <w:szCs w:val="20"/>
          <w:highlight w:val="none"/>
        </w:rPr>
        <w:t>后，自甲方接到合同总价款40%等额发票之日起，</w:t>
      </w:r>
      <w:r>
        <w:rPr>
          <w:rFonts w:hint="eastAsia" w:ascii="宋体" w:hAnsi="宋体" w:eastAsia="宋体" w:cs="宋体"/>
          <w:bCs/>
          <w:color w:val="auto"/>
          <w:kern w:val="0"/>
          <w:sz w:val="20"/>
          <w:szCs w:val="20"/>
          <w:highlight w:val="none"/>
          <w:lang w:val="en-US" w:eastAsia="zh-CN"/>
        </w:rPr>
        <w:t>10个工作日内，</w:t>
      </w:r>
      <w:r>
        <w:rPr>
          <w:rFonts w:hint="eastAsia" w:ascii="宋体" w:hAnsi="宋体" w:eastAsia="宋体" w:cs="宋体"/>
          <w:color w:val="auto"/>
          <w:sz w:val="20"/>
          <w:szCs w:val="20"/>
          <w:highlight w:val="none"/>
          <w:lang w:bidi="ar"/>
        </w:rPr>
        <w:t>支付合同总金额的40%款项作为预付款。</w:t>
      </w:r>
    </w:p>
    <w:p w14:paraId="792C456D">
      <w:pPr>
        <w:keepNext w:val="0"/>
        <w:keepLines w:val="0"/>
        <w:pageBreakBefore w:val="0"/>
        <w:widowControl/>
        <w:shd w:val="clear"/>
        <w:kinsoku/>
        <w:wordWrap/>
        <w:overflowPunct/>
        <w:autoSpaceDE/>
        <w:autoSpaceDN/>
        <w:bidi w:val="0"/>
        <w:snapToGrid/>
        <w:spacing w:line="360" w:lineRule="auto"/>
        <w:ind w:firstLine="400" w:firstLineChars="200"/>
        <w:jc w:val="left"/>
        <w:rPr>
          <w:rFonts w:hint="eastAsia" w:ascii="宋体" w:hAnsi="宋体" w:eastAsia="宋体" w:cs="宋体"/>
          <w:color w:val="auto"/>
          <w:sz w:val="20"/>
          <w:szCs w:val="20"/>
          <w:highlight w:val="none"/>
          <w:lang w:bidi="ar"/>
        </w:rPr>
      </w:pPr>
      <w:r>
        <w:rPr>
          <w:rFonts w:hint="eastAsia" w:ascii="宋体" w:hAnsi="宋体" w:eastAsia="宋体" w:cs="宋体"/>
          <w:color w:val="auto"/>
          <w:kern w:val="0"/>
          <w:sz w:val="20"/>
          <w:szCs w:val="20"/>
          <w:highlight w:val="none"/>
        </w:rPr>
        <w:t>整个项目服务期间，甲方按月对服务商服务效果进行评价考核。服务期结束，乙方按照要求交付运维文档资料后30天内，甲方按每月考核结果对乙方整体服务效果进行综合评价，拟定合同最终执行金额，交予乙方确认。乙方确认执行金额后，按确认金额开具剩余发票。甲方自接到发票之日起</w:t>
      </w:r>
      <w:r>
        <w:rPr>
          <w:rFonts w:hint="eastAsia" w:ascii="宋体" w:hAnsi="宋体" w:eastAsia="宋体" w:cs="宋体"/>
          <w:color w:val="auto"/>
          <w:sz w:val="20"/>
          <w:szCs w:val="20"/>
          <w:highlight w:val="none"/>
          <w:lang w:bidi="ar"/>
        </w:rPr>
        <w:t>10</w:t>
      </w:r>
      <w:r>
        <w:rPr>
          <w:rFonts w:hint="eastAsia" w:ascii="宋体" w:hAnsi="宋体" w:eastAsia="宋体" w:cs="宋体"/>
          <w:color w:val="auto"/>
          <w:sz w:val="20"/>
          <w:szCs w:val="20"/>
          <w:highlight w:val="none"/>
          <w:lang w:val="en-US" w:eastAsia="zh-CN" w:bidi="ar"/>
        </w:rPr>
        <w:t>个工作日</w:t>
      </w:r>
      <w:r>
        <w:rPr>
          <w:rFonts w:hint="eastAsia" w:ascii="宋体" w:hAnsi="宋体" w:eastAsia="宋体" w:cs="宋体"/>
          <w:color w:val="auto"/>
          <w:sz w:val="20"/>
          <w:szCs w:val="20"/>
          <w:highlight w:val="none"/>
          <w:lang w:bidi="ar"/>
        </w:rPr>
        <w:t>内，支付发票金额的100%。</w:t>
      </w:r>
      <w:r>
        <w:rPr>
          <w:rFonts w:hint="eastAsia" w:ascii="宋体" w:hAnsi="宋体" w:eastAsia="宋体" w:cs="宋体"/>
          <w:color w:val="auto"/>
          <w:sz w:val="20"/>
          <w:szCs w:val="20"/>
          <w:highlight w:val="none"/>
          <w:lang w:val="en-US" w:eastAsia="zh-CN" w:bidi="ar"/>
        </w:rPr>
        <w:t>因乙方原因导致甲方迟延付款的，甲方不承担任何违约责任。</w:t>
      </w:r>
    </w:p>
    <w:p w14:paraId="41867CE6">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(二)支付方式：银行转账。</w:t>
      </w:r>
    </w:p>
    <w:p w14:paraId="1D1B3914">
      <w:pPr>
        <w:keepNext w:val="0"/>
        <w:keepLines w:val="0"/>
        <w:pageBreakBefore w:val="0"/>
        <w:widowControl/>
        <w:shd w:val="clear"/>
        <w:kinsoku/>
        <w:wordWrap/>
        <w:overflowPunct/>
        <w:topLinePunct/>
        <w:autoSpaceDE/>
        <w:autoSpaceDN/>
        <w:bidi w:val="0"/>
        <w:adjustRightInd w:val="0"/>
        <w:snapToGrid/>
        <w:spacing w:line="360" w:lineRule="auto"/>
        <w:ind w:firstLine="262" w:firstLineChars="131"/>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乙方确认以下信息为收款信息：</w:t>
      </w:r>
    </w:p>
    <w:p w14:paraId="61110B08">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开户名： </w:t>
      </w:r>
    </w:p>
    <w:p w14:paraId="38354169">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开户行：</w:t>
      </w:r>
    </w:p>
    <w:p w14:paraId="6DC319CB">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账号：  </w:t>
      </w:r>
    </w:p>
    <w:p w14:paraId="5119A569">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(三)结算要求</w:t>
      </w:r>
    </w:p>
    <w:p w14:paraId="0AB2582A">
      <w:pPr>
        <w:keepNext w:val="0"/>
        <w:keepLines w:val="0"/>
        <w:pageBreakBefore w:val="0"/>
        <w:widowControl/>
        <w:numPr>
          <w:ilvl w:val="0"/>
          <w:numId w:val="1"/>
        </w:numPr>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自运维起始日起每月末进行服务效果考核评价，服务期结束后，考核结果均为合格及以上时，乙方可开具发票，持项目验收单、服务合同、发票，交与甲方进行结算。</w:t>
      </w:r>
    </w:p>
    <w:p w14:paraId="53FD1F15">
      <w:pPr>
        <w:keepNext w:val="0"/>
        <w:keepLines w:val="0"/>
        <w:pageBreakBefore w:val="0"/>
        <w:widowControl/>
        <w:numPr>
          <w:ilvl w:val="0"/>
          <w:numId w:val="1"/>
        </w:numPr>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当因甲方原因导致合同终止时：</w:t>
      </w:r>
    </w:p>
    <w:p w14:paraId="2AA7BF43">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snapToGrid w:val="0"/>
          <w:color w:val="auto"/>
          <w:kern w:val="0"/>
          <w:sz w:val="20"/>
          <w:szCs w:val="20"/>
          <w:highlight w:val="none"/>
        </w:rPr>
        <w:t>（1）</w:t>
      </w:r>
      <w:r>
        <w:rPr>
          <w:rFonts w:hint="eastAsia" w:ascii="宋体" w:hAnsi="宋体" w:eastAsia="宋体" w:cs="宋体"/>
          <w:color w:val="auto"/>
          <w:sz w:val="20"/>
          <w:szCs w:val="20"/>
          <w:highlight w:val="none"/>
        </w:rPr>
        <w:t>甲方不承担违约责任，则按乙方实际服务时间占合同约定服务期的百分比，乘以合同总价计算甲方最终应当支付的金额（本条内下文简称“金额”）。当预付款超出“金额”时，乙方应在合同终止后60天内退还超出部分；当预付款不足以支付“金额”时，乙方按照不足部分金额开具发票，甲方自接到发票之日起，60天内无息支付发票金额的100%，否则，甲方付款期限顺延，且不承担任何责任。</w:t>
      </w:r>
    </w:p>
    <w:p w14:paraId="27CD066F">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六、双方的权利和义务：</w:t>
      </w:r>
    </w:p>
    <w:p w14:paraId="65B3AD83">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(一)甲方的权利和义务</w:t>
      </w:r>
    </w:p>
    <w:p w14:paraId="0B76956B">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1、甲方保证提供给乙方的资料、信息内容合法，不侵犯第三方的合法权益。</w:t>
      </w:r>
    </w:p>
    <w:p w14:paraId="281AD899">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2、甲方使用乙方的产品或享受乙方提供的服务所产生的数据所有权归属于甲方。</w:t>
      </w:r>
    </w:p>
    <w:p w14:paraId="71E3014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3、甲方有义务在乙方服务期内提供必要且合理的支持。</w:t>
      </w:r>
    </w:p>
    <w:p w14:paraId="1C237C5A">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(二)乙方的权利和义务</w:t>
      </w:r>
    </w:p>
    <w:p w14:paraId="0BE647C4">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1、乙方保证在本项目服务期内，不侵犯第三方的合法权益。如因乙方原因致使甲方遭受第三方追诉的，乙方应承担由此给甲方造成的损失</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包括但不限于甲方全部经济损失及甲方因维权所产生的诉讼费、保全费、律师费等费用</w:t>
      </w:r>
      <w:r>
        <w:rPr>
          <w:rFonts w:hint="eastAsia" w:ascii="宋体" w:hAnsi="宋体" w:eastAsia="宋体" w:cs="宋体"/>
          <w:color w:val="auto"/>
          <w:sz w:val="20"/>
          <w:szCs w:val="20"/>
          <w:highlight w:val="none"/>
        </w:rPr>
        <w:t>，并按本合同约定承担</w:t>
      </w:r>
      <w:r>
        <w:rPr>
          <w:rFonts w:hint="eastAsia" w:ascii="宋体" w:hAnsi="宋体" w:eastAsia="宋体" w:cs="宋体"/>
          <w:color w:val="auto"/>
          <w:sz w:val="20"/>
          <w:szCs w:val="20"/>
          <w:highlight w:val="none"/>
          <w:lang w:val="en-US" w:eastAsia="zh-CN"/>
        </w:rPr>
        <w:t>合同总金额30%的</w:t>
      </w:r>
      <w:r>
        <w:rPr>
          <w:rFonts w:hint="eastAsia" w:ascii="宋体" w:hAnsi="宋体" w:eastAsia="宋体" w:cs="宋体"/>
          <w:color w:val="auto"/>
          <w:sz w:val="20"/>
          <w:szCs w:val="20"/>
          <w:highlight w:val="none"/>
        </w:rPr>
        <w:t>违约责任。</w:t>
      </w:r>
    </w:p>
    <w:p w14:paraId="355F2571">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2、乙方按照本合同约定，在系统维护和技术服务的过程中，不允许利用甲方提供的相关资料和工作条件进行与本项目无关的工作。如因乙方原因，致使甲方遭受经济损失及法律追诉的，由乙方承担全部</w:t>
      </w:r>
      <w:r>
        <w:rPr>
          <w:rFonts w:hint="eastAsia" w:ascii="宋体" w:hAnsi="宋体" w:eastAsia="宋体" w:cs="宋体"/>
          <w:color w:val="auto"/>
          <w:sz w:val="20"/>
          <w:szCs w:val="20"/>
          <w:highlight w:val="none"/>
          <w:lang w:val="en-US" w:eastAsia="zh-CN"/>
        </w:rPr>
        <w:t>损失</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包括但不限于甲方全部经济损失及甲方因维权所产生的诉讼费、保全费、律师费等费用。</w:t>
      </w:r>
    </w:p>
    <w:p w14:paraId="0A152366">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保证不将因履行本协议而获得的甲方数据用作履行本协议以外的其他用途。所有因乙方履行本协议而获取的甲方数据、文档、信息(包括但不限于甲方经营信息、患者信息)等，其所有权均归甲方，若乙方泄露甲方数据或将甲方数据用作履行本协议以外的其他用途的，应视为乙方违约，乙方应赔偿由此给甲方造成的全部损失，</w:t>
      </w:r>
      <w:r>
        <w:rPr>
          <w:rFonts w:hint="eastAsia" w:ascii="宋体" w:hAnsi="宋体" w:eastAsia="宋体" w:cs="宋体"/>
          <w:color w:val="auto"/>
          <w:sz w:val="20"/>
          <w:szCs w:val="20"/>
          <w:highlight w:val="none"/>
          <w:lang w:val="en-US" w:eastAsia="zh-CN"/>
        </w:rPr>
        <w:t>包括但不限于甲方全部经济损失及甲方因维权所产生的诉讼费、保全费、律师费等费用，</w:t>
      </w:r>
      <w:r>
        <w:rPr>
          <w:rFonts w:hint="eastAsia" w:ascii="宋体" w:hAnsi="宋体" w:eastAsia="宋体" w:cs="宋体"/>
          <w:color w:val="auto"/>
          <w:sz w:val="20"/>
          <w:szCs w:val="20"/>
          <w:highlight w:val="none"/>
        </w:rPr>
        <w:t>同时按照本合同约定向甲方承担</w:t>
      </w:r>
      <w:r>
        <w:rPr>
          <w:rFonts w:hint="eastAsia" w:ascii="宋体" w:hAnsi="宋体" w:eastAsia="宋体" w:cs="宋体"/>
          <w:color w:val="auto"/>
          <w:sz w:val="20"/>
          <w:szCs w:val="20"/>
          <w:highlight w:val="none"/>
          <w:lang w:val="en-US" w:eastAsia="zh-CN"/>
        </w:rPr>
        <w:t>合同总金额30%的</w:t>
      </w:r>
      <w:r>
        <w:rPr>
          <w:rFonts w:hint="eastAsia" w:ascii="宋体" w:hAnsi="宋体" w:eastAsia="宋体" w:cs="宋体"/>
          <w:color w:val="auto"/>
          <w:sz w:val="20"/>
          <w:szCs w:val="20"/>
          <w:highlight w:val="none"/>
        </w:rPr>
        <w:t>违约责任。本合同的终止、解除不影响本条款的效力。</w:t>
      </w:r>
    </w:p>
    <w:p w14:paraId="1B7F996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4.在实施本项目经营管理时，需符合国家相关的政策法规；应无条件执行国家、地方政府、行业协会最新颁布的标准和条例；必须符合甲方有关部门和科室的工作时间和工作要求。</w:t>
      </w:r>
    </w:p>
    <w:p w14:paraId="0C8DF531">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5.乙方应提供所有设备运维服务，如技术能力不能满足，经甲方同意后可通过购置原厂运维或其他合法途径，以保障服务要求，因此支出的额外费用由乙方承担。</w:t>
      </w:r>
    </w:p>
    <w:p w14:paraId="73514AC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应配备常用的备品备件。在规定时间内无法完成维修，及时使用备品备件进行替换，以保障甲方网络或系统正常运行；若某台设备的某个配件出现一个月内因相同故障维修超过3次的，故障部件必须进行免费更换。</w:t>
      </w:r>
    </w:p>
    <w:p w14:paraId="55CBBA7A">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7.服务期间如因乙方过失或技术、设备、操作等发生意外事故，导致乙方、甲方或其他第三方人身、财产等损失，均由乙方承担全部责任</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包括但不限于甲方全部经济损失及甲方因维权所产生的诉讼费、保全费、律师费等费用</w:t>
      </w:r>
      <w:r>
        <w:rPr>
          <w:rFonts w:hint="eastAsia" w:ascii="宋体" w:hAnsi="宋体" w:eastAsia="宋体" w:cs="宋体"/>
          <w:color w:val="auto"/>
          <w:sz w:val="20"/>
          <w:szCs w:val="20"/>
          <w:highlight w:val="none"/>
        </w:rPr>
        <w:t>。</w:t>
      </w:r>
    </w:p>
    <w:p w14:paraId="21A99F01">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8.在</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及合同中约定的硬软件服务，乙方在规定时间内未能提供并对甲方业务造成影响的，由此产生的费用及损失由乙方承担。</w:t>
      </w:r>
    </w:p>
    <w:p w14:paraId="3D032FF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9.乙方如未达到运维要求或未按合同约定的时限排除故障，甲方可指定原厂或第三方进行维护，费用由乙方支付，乙方支付后甲方可进行后续</w:t>
      </w:r>
      <w:r>
        <w:rPr>
          <w:rFonts w:hint="eastAsia" w:ascii="宋体" w:hAnsi="宋体" w:eastAsia="宋体" w:cs="宋体"/>
          <w:color w:val="auto"/>
          <w:sz w:val="20"/>
          <w:szCs w:val="20"/>
          <w:highlight w:val="none"/>
          <w:lang w:val="en-US" w:eastAsia="zh-CN"/>
        </w:rPr>
        <w:t>付款</w:t>
      </w:r>
      <w:r>
        <w:rPr>
          <w:rFonts w:hint="eastAsia" w:ascii="宋体" w:hAnsi="宋体" w:eastAsia="宋体" w:cs="宋体"/>
          <w:color w:val="auto"/>
          <w:sz w:val="20"/>
          <w:szCs w:val="20"/>
          <w:highlight w:val="none"/>
        </w:rPr>
        <w:t>，且甲方有权从未付合同款中直接扣除该费用。</w:t>
      </w:r>
    </w:p>
    <w:p w14:paraId="01EA9BB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0.</w:t>
      </w:r>
      <w:r>
        <w:rPr>
          <w:rFonts w:hint="eastAsia" w:ascii="宋体" w:hAnsi="宋体" w:eastAsia="宋体" w:cs="宋体"/>
          <w:color w:val="auto"/>
          <w:sz w:val="20"/>
          <w:szCs w:val="20"/>
          <w:highlight w:val="none"/>
        </w:rPr>
        <w:t>乙方确保本项目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w:t>
      </w:r>
    </w:p>
    <w:p w14:paraId="31E39352">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七、质量保证</w:t>
      </w:r>
    </w:p>
    <w:p w14:paraId="343D167F">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(一)乙方确定的方案科学、可行，人员配置合理，满足甲方要求。</w:t>
      </w:r>
    </w:p>
    <w:p w14:paraId="7692CB1F">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(二)符合国家有关服务规范要求，确保各项系统达到服务要求。</w:t>
      </w:r>
    </w:p>
    <w:p w14:paraId="4BE0D8C6">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(三)乙方所有技术人员严格遵守甲方的保密规定，签订保密协议。</w:t>
      </w:r>
    </w:p>
    <w:p w14:paraId="63CF3101">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(四)乙方提供的服务，若发生侵权而产生的一切后果，由乙方负责，甲方保留索赔权利。</w:t>
      </w:r>
    </w:p>
    <w:p w14:paraId="3A9962C7">
      <w:pPr>
        <w:keepNext w:val="0"/>
        <w:keepLines w:val="0"/>
        <w:pageBreakBefore w:val="0"/>
        <w:shd w:val="clear"/>
        <w:kinsoku/>
        <w:wordWrap/>
        <w:overflowPunct/>
        <w:autoSpaceDE/>
        <w:autoSpaceDN/>
        <w:bidi w:val="0"/>
        <w:snapToGrid/>
        <w:spacing w:line="360" w:lineRule="auto"/>
        <w:ind w:firstLine="156" w:firstLineChars="7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(五)为保护甲方的合法权利，乙方企业法定代表人、股东对于本合同的履行须承担无限连带保证责任，并出具《网络与信息化机房设备维保服务采购项目》承担无限连带保证责任担保函。</w:t>
      </w:r>
    </w:p>
    <w:p w14:paraId="3FA7B369">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八、服务及培训</w:t>
      </w:r>
    </w:p>
    <w:p w14:paraId="0C884182">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(一)服务期内</w:t>
      </w:r>
    </w:p>
    <w:p w14:paraId="0E72422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1.乙方向甲方指定地点派驻驻场人员</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人，主要工作包含：机房设备与环境的日常巡检，安全设备告警监测，硬件设备故障维修、保养，完成甲方安排的其他工作等，具体要求如下：</w:t>
      </w:r>
    </w:p>
    <w:p w14:paraId="7F04233B">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(1)机房设备与环境的日常巡检</w:t>
      </w:r>
    </w:p>
    <w:p w14:paraId="13174964">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开展机房环境与设备的运行状态检查，以及安全设备的告警监测，每天一次，每</w:t>
      </w:r>
      <w:r>
        <w:rPr>
          <w:rFonts w:hint="eastAsia" w:ascii="宋体" w:hAnsi="宋体" w:eastAsia="宋体" w:cs="宋体"/>
          <w:color w:val="auto"/>
          <w:sz w:val="20"/>
          <w:szCs w:val="20"/>
          <w:highlight w:val="none"/>
          <w:lang w:val="en-US" w:eastAsia="zh-CN"/>
        </w:rPr>
        <w:t>月</w:t>
      </w:r>
      <w:r>
        <w:rPr>
          <w:rFonts w:hint="eastAsia" w:ascii="宋体" w:hAnsi="宋体" w:eastAsia="宋体" w:cs="宋体"/>
          <w:color w:val="auto"/>
          <w:sz w:val="20"/>
          <w:szCs w:val="20"/>
          <w:highlight w:val="none"/>
        </w:rPr>
        <w:t>提供一次巡检报告。每季度运维服务完成后，提供该季度运维工作报告，并于服务期满一年后提供上一年度的整体运维工作报告。</w:t>
      </w:r>
    </w:p>
    <w:p w14:paraId="5AEE92C9">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(2)硬件设备故障维修、保养</w:t>
      </w:r>
    </w:p>
    <w:p w14:paraId="1EBB057B">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运维服务期内，对机房设备的软、硬件故障进行及时维修，定期进行设备清灰、线缆整理等保养工作，保证设备整体开机率高于95%。</w:t>
      </w:r>
    </w:p>
    <w:p w14:paraId="3F2E5BBC">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维修响应时间：驻场人员接到报修后，15分钟内到达现场，在项目团队技术支持下，8小时内完成维修。紧急故障维修，5分钟内到达现场，按甲方要求时间完成故障处理，对现场当天无法解决故障的机器，48小时内进行更换。</w:t>
      </w:r>
    </w:p>
    <w:p w14:paraId="065DC5F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2.管理要求</w:t>
      </w:r>
    </w:p>
    <w:p w14:paraId="02750087">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(1)驻场人员接受甲方的监督管理，按双方主管领导的意图进行工作，甲方对工作不称职的人员可向乙方提出更换要求，乙方应在3天内安排新的人员到岗。</w:t>
      </w:r>
    </w:p>
    <w:p w14:paraId="364B27B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(2)乙方派往甲方驻场人员，应持有效证件上岗，报甲方相关管理部门审核备案。</w:t>
      </w:r>
    </w:p>
    <w:p w14:paraId="27FC92C5">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(3)乙方负责对所属员工开展必要的法治教育工作，乙方驻场人员保 证严格遵守甲方的各项规章制度及本协议附件所规定的、岗位职责和纪律，遵纪守法。若乙方人员出现违规行为，乙方应按规定及时对相关人员进行处理。</w:t>
      </w:r>
    </w:p>
    <w:p w14:paraId="72D5041B">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(4)乙方应当与派入甲方的驻场人员建立劳动关系，按照相关法律法规规定缴纳各类社会保险，包括但不限于工伤保险和医疗保险等；乙方根据甲方实际工作任务和要求统一安排驻场人员的具体工作。</w:t>
      </w:r>
    </w:p>
    <w:p w14:paraId="4BE4AAEA">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(5)乙方应确保派入甲方的驻场人员没有过刑事犯罪记录或违法治安拘留的处罚，政审合格，身体素质和业务素质达到甲方录用要求，并统一着装上岗。对不按要求着装上岗的，满意度扣分。</w:t>
      </w:r>
    </w:p>
    <w:p w14:paraId="14ACB0C3">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(6)乙方应指定项目负责人，检查并负责对驻场人员日常管理工作。驻场人员更换要提前通知甲方并经甲方同意后以书面联系函方式与甲方确认。</w:t>
      </w:r>
    </w:p>
    <w:p w14:paraId="7E9864A6">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乙方工作人员应定期按时向甲方移交工作记录、台账、统计数据、报表等。合同终止时，乙方应向甲方移交服务过程中的全部档案资料，包括但不限于：工作记录、台账、统计数据、报表。此项工作纳入满意度考核中。</w:t>
      </w:r>
    </w:p>
    <w:p w14:paraId="0584F8EE">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(8)乙方应当在经营范围内投入相应的责任险。因工作失误造成自身、甲方或第三方的财产损失或人员伤亡的，由乙方承担全部经济责任及法律责任</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包括但不限于甲方全部经济损失及甲方因维权所产生的诉讼费、保全费、律师费等费用。</w:t>
      </w:r>
    </w:p>
    <w:p w14:paraId="53ACA0F3">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乙方驻场人员违反本合同附件的规定，甲方有权结合相关规定和职责要求，要求乙方承担违约责任；乙方驻场人员未按合同要求进行优质服务(按合同标准)且造成恶劣影响和损失时，甲方有权按违约责任要求乙方赔偿。</w:t>
      </w:r>
    </w:p>
    <w:p w14:paraId="52F32F97">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(10)乙方应保证单位及其驻场人员与甲方(甲方)签定信息安全与保密协议。</w:t>
      </w:r>
    </w:p>
    <w:p w14:paraId="628ED7D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(11)在服务期内若乙方的工作人员发生盗窃、斗殴，人员伤亡等意外情形，均应由乙方承担责任，与甲方无关。双方合同到期后甲方不与乙方续签。</w:t>
      </w:r>
      <w:r>
        <w:rPr>
          <w:rFonts w:hint="eastAsia" w:ascii="宋体" w:hAnsi="宋体" w:eastAsia="宋体" w:cs="宋体"/>
          <w:color w:val="auto"/>
          <w:sz w:val="20"/>
          <w:szCs w:val="20"/>
          <w:highlight w:val="none"/>
          <w:lang w:val="en-US" w:eastAsia="zh-CN"/>
        </w:rPr>
        <w:t>若因此给甲方造成损失的，乙方还应承担甲方的全部损失，包括但不限于甲方全部经济损失及甲方因维权所产生的诉讼费、保全费、律师费等费用。</w:t>
      </w:r>
    </w:p>
    <w:p w14:paraId="5F660934">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(二)款项结清前，乙方对所提供服务进行系统检测，全面保养维护。</w:t>
      </w:r>
    </w:p>
    <w:p w14:paraId="2B4431CF">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(三)培训  </w:t>
      </w:r>
    </w:p>
    <w:p w14:paraId="4264B592">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1.集中培训</w:t>
      </w:r>
    </w:p>
    <w:p w14:paraId="44E8CB39">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针对日常维护相关的设备维护常识、设备特性、使用经验进行介绍，并对常见故障处理、其他领域典型案例等问题进行汇总分析，与甲方协商培训时间进行集中培训，以提高甲方整体维护能力。</w:t>
      </w:r>
    </w:p>
    <w:p w14:paraId="351F5D61">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2.现场培训</w:t>
      </w:r>
    </w:p>
    <w:p w14:paraId="0FEB9C90">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每次故障解决结束后，驻场人员将现场服务中故障发生的原因、处理过程、以及类似故障的预防和处理过程的问题对甲方的技术人员进行现场培训，形成资料，并对重大问题重点宣讲。</w:t>
      </w:r>
    </w:p>
    <w:p w14:paraId="24EC509E">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九、服务安全</w:t>
      </w:r>
    </w:p>
    <w:p w14:paraId="56B0FAA3">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自合同签订之日起至服务期结束，乙方负责对其所有服务人员、巡检人员进行安全教育，如发生任何意外或事故，乙方承担全部医疗费用、法律责任、经济赔偿，与甲方无关。</w:t>
      </w:r>
      <w:r>
        <w:rPr>
          <w:rFonts w:hint="eastAsia" w:ascii="宋体" w:hAnsi="宋体" w:eastAsia="宋体" w:cs="宋体"/>
          <w:color w:val="auto"/>
          <w:sz w:val="20"/>
          <w:szCs w:val="20"/>
          <w:highlight w:val="none"/>
          <w:lang w:val="en-US" w:eastAsia="zh-CN"/>
        </w:rPr>
        <w:t>因此给甲方造成损失的，乙方还应承担甲方的全部损失，包括但不限于甲方全部经济损失及甲方因维权所产生的诉讼费、保全费、律师费等费用。</w:t>
      </w:r>
    </w:p>
    <w:p w14:paraId="3E624D8D">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十、验收</w:t>
      </w:r>
    </w:p>
    <w:p w14:paraId="0056A290">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(一)服务期到期后，乙方提出申请，共同出具项目自验报告并附带服务考核表。甲方根据</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、投标文件及相关文件进行验收，确认乙方是否达到服务标准和采购要求。</w:t>
      </w:r>
    </w:p>
    <w:p w14:paraId="3EC71A91">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(二)甲方组织乙方(必要时请有关专家)进行系统验收，验收合格后，填写政府采购项目验收单(一式伍份)作为对项目的最终认可。</w:t>
      </w:r>
    </w:p>
    <w:p w14:paraId="7D43D5AC">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(三)乙方向甲方提供维保服务过程中的所有资料，以便甲方日后管理和维护。</w:t>
      </w:r>
    </w:p>
    <w:p w14:paraId="4942E4AD">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(四)验收依据</w:t>
      </w:r>
    </w:p>
    <w:p w14:paraId="63276191">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文件、澄清表(函);</w:t>
      </w:r>
    </w:p>
    <w:p w14:paraId="5171266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2、本合同及附件文本；</w:t>
      </w:r>
    </w:p>
    <w:p w14:paraId="6C422D54">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3、国家相应的标准、规范。</w:t>
      </w:r>
    </w:p>
    <w:p w14:paraId="68948025">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4、总结报告、巡检单、满意度调查表等</w:t>
      </w:r>
    </w:p>
    <w:p w14:paraId="4DCD025E">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十一、违约责任</w:t>
      </w:r>
    </w:p>
    <w:p w14:paraId="6F4DF85D">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(一)按《中华人民共和国民法典》中的相关条款执行。</w:t>
      </w:r>
    </w:p>
    <w:p w14:paraId="18FBD1B5">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(二)乙方存在以下情形之一：</w:t>
      </w:r>
    </w:p>
    <w:p w14:paraId="537C2EE3">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服务期开始后</w:t>
      </w:r>
      <w:r>
        <w:rPr>
          <w:rFonts w:hint="eastAsia" w:ascii="宋体" w:hAnsi="宋体" w:eastAsia="宋体" w:cs="宋体"/>
          <w:color w:val="auto"/>
          <w:sz w:val="20"/>
          <w:szCs w:val="20"/>
          <w:highlight w:val="none"/>
        </w:rPr>
        <w:t>超30天乙方仍未入场</w:t>
      </w:r>
      <w:r>
        <w:rPr>
          <w:rFonts w:hint="eastAsia" w:ascii="宋体" w:hAnsi="宋体" w:eastAsia="宋体" w:cs="宋体"/>
          <w:color w:val="auto"/>
          <w:sz w:val="20"/>
          <w:szCs w:val="20"/>
          <w:highlight w:val="none"/>
          <w:lang w:eastAsia="zh-CN"/>
        </w:rPr>
        <w:t>；</w:t>
      </w:r>
    </w:p>
    <w:p w14:paraId="7E5969E1">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2.乙方收到预付款后未按合同要求提供服务</w:t>
      </w:r>
      <w:r>
        <w:rPr>
          <w:rFonts w:hint="eastAsia" w:ascii="宋体" w:hAnsi="宋体" w:eastAsia="宋体" w:cs="宋体"/>
          <w:color w:val="auto"/>
          <w:sz w:val="20"/>
          <w:szCs w:val="20"/>
          <w:highlight w:val="none"/>
          <w:lang w:eastAsia="zh-CN"/>
        </w:rPr>
        <w:t>；</w:t>
      </w:r>
    </w:p>
    <w:p w14:paraId="5DB30043">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3.因乙方服务质量不能满足合同技术要求，导致甲方网络或系统大面积瘫痪持续超过</w:t>
      </w:r>
      <w:r>
        <w:rPr>
          <w:rFonts w:hint="eastAsia" w:ascii="宋体" w:hAnsi="宋体" w:eastAsia="宋体" w:cs="宋体"/>
          <w:color w:val="auto"/>
          <w:sz w:val="20"/>
          <w:szCs w:val="20"/>
          <w:highlight w:val="none"/>
          <w:lang w:val="en-US" w:eastAsia="zh-CN"/>
        </w:rPr>
        <w:t>24</w:t>
      </w:r>
      <w:r>
        <w:rPr>
          <w:rFonts w:hint="eastAsia" w:ascii="宋体" w:hAnsi="宋体" w:eastAsia="宋体" w:cs="宋体"/>
          <w:color w:val="auto"/>
          <w:sz w:val="20"/>
          <w:szCs w:val="20"/>
          <w:highlight w:val="none"/>
        </w:rPr>
        <w:t>小时，或服务期内累计超过</w:t>
      </w: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天，则视为乙方根本违约，乙方应退还甲方预付款，并按照合同总价的30%向甲方支付违约金，若违约金不足以弥补甲方全部损失(包括但不限于重新采购产生的费用及其它由此造成的甲方对第三方的违约损失</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甲方支付的律师费、诉讼费等费用</w:t>
      </w:r>
      <w:r>
        <w:rPr>
          <w:rFonts w:hint="eastAsia" w:ascii="宋体" w:hAnsi="宋体" w:eastAsia="宋体" w:cs="宋体"/>
          <w:color w:val="auto"/>
          <w:sz w:val="20"/>
          <w:szCs w:val="20"/>
          <w:highlight w:val="none"/>
        </w:rPr>
        <w:t>),由乙方另行支付。同时甲方有权按照《中华人民共和国招标投标法》、《中华人民共和国政府采购法》有关处罚条款报监管机构进行相应的处罚。</w:t>
      </w:r>
    </w:p>
    <w:p w14:paraId="0172657B">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合同存续期间，如经双方协商一致决定终止合同，则双方均不视为违约。乙方应继续履行合同义务至当季度结束，甲方应按照合同约定的付款条件向乙方支付乙方履约期内的服务款项，无需支付未履行服务期期间的款项。</w:t>
      </w:r>
    </w:p>
    <w:p w14:paraId="111A38B1">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十二、合同争议的解决</w:t>
      </w:r>
    </w:p>
    <w:p w14:paraId="5EF0FEFB">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合同执行中发生争议的，当事人双方应协商解决，无法协商或协商达不成一致时，双方均有权向甲方所在地人民法院提请诉讼。</w:t>
      </w:r>
    </w:p>
    <w:p w14:paraId="5A7DA45D">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十三、合同生效</w:t>
      </w:r>
    </w:p>
    <w:p w14:paraId="52D2F524">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合同一式六份，甲方四份、乙方</w:t>
      </w:r>
      <w:r>
        <w:rPr>
          <w:rFonts w:hint="eastAsia" w:ascii="宋体" w:hAnsi="宋体" w:eastAsia="宋体" w:cs="宋体"/>
          <w:color w:val="auto"/>
          <w:sz w:val="20"/>
          <w:szCs w:val="20"/>
          <w:highlight w:val="none"/>
          <w:lang w:val="en-US" w:eastAsia="zh-CN"/>
        </w:rPr>
        <w:t>二</w:t>
      </w:r>
      <w:r>
        <w:rPr>
          <w:rFonts w:hint="eastAsia" w:ascii="宋体" w:hAnsi="宋体" w:eastAsia="宋体" w:cs="宋体"/>
          <w:color w:val="auto"/>
          <w:sz w:val="20"/>
          <w:szCs w:val="20"/>
          <w:highlight w:val="none"/>
        </w:rPr>
        <w:t>份，均具有同等法律效力。合同经甲方、乙方签字盖章后生效，合同执行完毕后，自动终止(合同的服务承诺则长期有效)。</w:t>
      </w:r>
    </w:p>
    <w:p w14:paraId="278AF5D1">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十四、其他事项</w:t>
      </w:r>
    </w:p>
    <w:p w14:paraId="5E4F7B39">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、投标文件、澄清表(函)、中标通知书、合同附件均成为合同不可分割的部分，与本合同具有同等法律效力。</w:t>
      </w:r>
    </w:p>
    <w:p w14:paraId="48EEAD2A">
      <w:pPr>
        <w:keepNext w:val="0"/>
        <w:keepLines w:val="0"/>
        <w:pageBreakBefore w:val="0"/>
        <w:widowControl/>
        <w:shd w:val="clear"/>
        <w:kinsoku/>
        <w:wordWrap/>
        <w:overflowPunct/>
        <w:topLinePunct/>
        <w:autoSpaceDE/>
        <w:autoSpaceDN/>
        <w:bidi w:val="0"/>
        <w:adjustRightInd w:val="0"/>
        <w:snapToGrid/>
        <w:spacing w:line="360" w:lineRule="auto"/>
        <w:ind w:firstLine="200" w:firstLineChars="1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(二)合同未尽事宜，由甲、乙双方协商确认后，签订补充协议作为合同补充，与原合同具有同等法律效力，补充协议与原合同不一致的，以补充协议为准。</w:t>
      </w:r>
    </w:p>
    <w:p w14:paraId="7452E38F">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附件1：采购需求</w:t>
      </w:r>
    </w:p>
    <w:p w14:paraId="1B320A03">
      <w:pPr>
        <w:keepNext w:val="0"/>
        <w:keepLines w:val="0"/>
        <w:pageBreakBefore w:val="0"/>
        <w:widowControl/>
        <w:shd w:val="clear"/>
        <w:kinsoku/>
        <w:wordWrap/>
        <w:overflowPunct/>
        <w:topLinePunct/>
        <w:autoSpaceDE/>
        <w:autoSpaceDN/>
        <w:bidi w:val="0"/>
        <w:adjustRightInd w:val="0"/>
        <w:snapToGrid/>
        <w:spacing w:line="360" w:lineRule="auto"/>
        <w:ind w:firstLine="400" w:firstLineChars="200"/>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附件2：服务考核评价表</w:t>
      </w:r>
    </w:p>
    <w:p w14:paraId="768627DB">
      <w:pPr>
        <w:keepNext w:val="0"/>
        <w:keepLines w:val="0"/>
        <w:pageBreakBefore w:val="0"/>
        <w:widowControl/>
        <w:shd w:val="clear"/>
        <w:kinsoku/>
        <w:wordWrap/>
        <w:overflowPunct/>
        <w:topLinePunct/>
        <w:autoSpaceDE/>
        <w:autoSpaceDN/>
        <w:bidi w:val="0"/>
        <w:adjustRightInd w:val="0"/>
        <w:snapToGrid/>
        <w:spacing w:line="360" w:lineRule="auto"/>
        <w:textAlignment w:val="baseline"/>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(以下无正文)</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52"/>
        <w:gridCol w:w="4070"/>
      </w:tblGrid>
      <w:tr w14:paraId="75082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3DA68339">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lang w:val="en-US"/>
              </w:rPr>
            </w:pPr>
            <w:r>
              <w:rPr>
                <w:rFonts w:hint="eastAsia" w:ascii="宋体" w:hAnsi="宋体" w:eastAsia="宋体" w:cs="宋体"/>
                <w:color w:val="auto"/>
                <w:sz w:val="20"/>
                <w:szCs w:val="20"/>
                <w:highlight w:val="none"/>
              </w:rPr>
              <w:t>甲方：西安市人民医院（西安市第四医院）（</w:t>
            </w:r>
            <w:r>
              <w:rPr>
                <w:rFonts w:hint="eastAsia" w:ascii="宋体" w:hAnsi="宋体" w:eastAsia="宋体" w:cs="宋体"/>
                <w:color w:val="auto"/>
                <w:sz w:val="20"/>
                <w:szCs w:val="20"/>
                <w:highlight w:val="none"/>
                <w:lang w:val="en-US"/>
              </w:rPr>
              <w:t>盖章）</w:t>
            </w:r>
          </w:p>
        </w:tc>
        <w:tc>
          <w:tcPr>
            <w:tcW w:w="4157" w:type="dxa"/>
            <w:noWrap w:val="0"/>
            <w:vAlign w:val="top"/>
          </w:tcPr>
          <w:p w14:paraId="3F32B1C9">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lang w:val="en-US"/>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val="en-US"/>
              </w:rPr>
              <w:t>：</w:t>
            </w:r>
          </w:p>
        </w:tc>
      </w:tr>
      <w:tr w14:paraId="04C56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26E1FC6D">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lang w:val="en-US"/>
              </w:rPr>
            </w:pPr>
            <w:r>
              <w:rPr>
                <w:rFonts w:hint="eastAsia" w:ascii="宋体" w:hAnsi="宋体" w:eastAsia="宋体" w:cs="宋体"/>
                <w:color w:val="auto"/>
                <w:sz w:val="20"/>
                <w:szCs w:val="20"/>
                <w:highlight w:val="none"/>
              </w:rPr>
              <w:t>地址：西安市新城区解放路21号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rPr>
              <w:t>西安市长安区航天东路155号</w:t>
            </w:r>
          </w:p>
        </w:tc>
        <w:tc>
          <w:tcPr>
            <w:tcW w:w="4157" w:type="dxa"/>
            <w:noWrap w:val="0"/>
            <w:vAlign w:val="top"/>
          </w:tcPr>
          <w:p w14:paraId="70CD05E3">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地址：</w:t>
            </w:r>
          </w:p>
        </w:tc>
      </w:tr>
      <w:tr w14:paraId="237F6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4531" w:type="dxa"/>
            <w:noWrap w:val="0"/>
            <w:vAlign w:val="top"/>
          </w:tcPr>
          <w:p w14:paraId="3CFBF7BD">
            <w:pPr>
              <w:keepNext w:val="0"/>
              <w:keepLines w:val="0"/>
              <w:pageBreakBefore w:val="0"/>
              <w:shd w:val="clear"/>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lang w:val="en-US"/>
              </w:rPr>
              <w:t>签字）</w:t>
            </w:r>
            <w:r>
              <w:rPr>
                <w:rFonts w:hint="eastAsia" w:ascii="宋体" w:hAnsi="宋体" w:eastAsia="宋体" w:cs="宋体"/>
                <w:color w:val="auto"/>
                <w:sz w:val="20"/>
                <w:szCs w:val="20"/>
                <w:highlight w:val="none"/>
              </w:rPr>
              <w:t>：</w:t>
            </w:r>
          </w:p>
        </w:tc>
        <w:tc>
          <w:tcPr>
            <w:tcW w:w="4157" w:type="dxa"/>
            <w:noWrap w:val="0"/>
            <w:vAlign w:val="top"/>
          </w:tcPr>
          <w:p w14:paraId="6B66096F">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lang w:val="en-US"/>
              </w:rPr>
              <w:t>签字）</w:t>
            </w:r>
            <w:r>
              <w:rPr>
                <w:rFonts w:hint="eastAsia" w:ascii="宋体" w:hAnsi="宋体" w:eastAsia="宋体" w:cs="宋体"/>
                <w:color w:val="auto"/>
                <w:sz w:val="20"/>
                <w:szCs w:val="20"/>
                <w:highlight w:val="none"/>
              </w:rPr>
              <w:t>：</w:t>
            </w:r>
          </w:p>
        </w:tc>
      </w:tr>
      <w:tr w14:paraId="303E8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5E73C821">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none"/>
                <w:lang w:val="en-US" w:eastAsia="zh-CN"/>
              </w:rPr>
              <w:t>029-61199762</w:t>
            </w:r>
          </w:p>
        </w:tc>
        <w:tc>
          <w:tcPr>
            <w:tcW w:w="4157" w:type="dxa"/>
            <w:noWrap w:val="0"/>
            <w:vAlign w:val="top"/>
          </w:tcPr>
          <w:p w14:paraId="0C4FFF81">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r>
      <w:tr w14:paraId="172F0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04E3AFA1">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签订日期：20</w:t>
            </w:r>
            <w:r>
              <w:rPr>
                <w:rFonts w:hint="eastAsia" w:ascii="宋体" w:hAnsi="宋体" w:eastAsia="宋体" w:cs="宋体"/>
                <w:color w:val="auto"/>
                <w:sz w:val="20"/>
                <w:szCs w:val="20"/>
                <w:highlight w:val="none"/>
                <w:lang w:val="en-US"/>
              </w:rPr>
              <w:t>2</w:t>
            </w:r>
            <w:r>
              <w:rPr>
                <w:rFonts w:hint="eastAsia" w:ascii="宋体" w:hAnsi="宋体" w:eastAsia="宋体" w:cs="宋体"/>
                <w:color w:val="auto"/>
                <w:sz w:val="20"/>
                <w:szCs w:val="20"/>
                <w:highlight w:val="none"/>
                <w:lang w:val="en-US" w:eastAsia="zh-CN"/>
              </w:rPr>
              <w:t>5</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rPr>
              <w:t xml:space="preserve">   </w:t>
            </w:r>
            <w:r>
              <w:rPr>
                <w:rFonts w:hint="eastAsia" w:ascii="宋体" w:hAnsi="宋体" w:eastAsia="宋体" w:cs="宋体"/>
                <w:color w:val="auto"/>
                <w:sz w:val="20"/>
                <w:szCs w:val="20"/>
                <w:highlight w:val="none"/>
              </w:rPr>
              <w:t>日</w:t>
            </w:r>
          </w:p>
        </w:tc>
        <w:tc>
          <w:tcPr>
            <w:tcW w:w="4157" w:type="dxa"/>
            <w:noWrap w:val="0"/>
            <w:vAlign w:val="top"/>
          </w:tcPr>
          <w:p w14:paraId="48D6117A">
            <w:pPr>
              <w:keepNext w:val="0"/>
              <w:keepLines w:val="0"/>
              <w:pageBreakBefore w:val="0"/>
              <w:shd w:val="clear"/>
              <w:tabs>
                <w:tab w:val="left" w:pos="480"/>
              </w:tabs>
              <w:kinsoku/>
              <w:wordWrap/>
              <w:overflowPunct/>
              <w:autoSpaceDE/>
              <w:autoSpaceDN/>
              <w:bidi w:val="0"/>
              <w:snapToGrid/>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签订日期：20</w:t>
            </w:r>
            <w:r>
              <w:rPr>
                <w:rFonts w:hint="eastAsia" w:ascii="宋体" w:hAnsi="宋体" w:eastAsia="宋体" w:cs="宋体"/>
                <w:color w:val="auto"/>
                <w:sz w:val="20"/>
                <w:szCs w:val="20"/>
                <w:highlight w:val="none"/>
                <w:lang w:val="en-US"/>
              </w:rPr>
              <w:t>2</w:t>
            </w:r>
            <w:r>
              <w:rPr>
                <w:rFonts w:hint="eastAsia" w:ascii="宋体" w:hAnsi="宋体" w:eastAsia="宋体" w:cs="宋体"/>
                <w:color w:val="auto"/>
                <w:sz w:val="20"/>
                <w:szCs w:val="20"/>
                <w:highlight w:val="none"/>
                <w:lang w:val="en-US" w:eastAsia="zh-CN"/>
              </w:rPr>
              <w:t>5</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rPr>
              <w:t xml:space="preserve">   </w:t>
            </w:r>
            <w:r>
              <w:rPr>
                <w:rFonts w:hint="eastAsia" w:ascii="宋体" w:hAnsi="宋体" w:eastAsia="宋体" w:cs="宋体"/>
                <w:color w:val="auto"/>
                <w:sz w:val="20"/>
                <w:szCs w:val="20"/>
                <w:highlight w:val="none"/>
              </w:rPr>
              <w:t>日</w:t>
            </w:r>
          </w:p>
        </w:tc>
      </w:tr>
    </w:tbl>
    <w:p w14:paraId="2CD2AAB3">
      <w:pPr>
        <w:keepNext w:val="0"/>
        <w:keepLines w:val="0"/>
        <w:pageBreakBefore w:val="0"/>
        <w:shd w:val="clear"/>
        <w:kinsoku/>
        <w:wordWrap/>
        <w:overflowPunct/>
        <w:autoSpaceDE/>
        <w:autoSpaceDN/>
        <w:bidi w:val="0"/>
        <w:snapToGrid/>
        <w:spacing w:line="360" w:lineRule="auto"/>
        <w:rPr>
          <w:rFonts w:hint="eastAsia" w:ascii="黑体" w:hAnsi="黑体" w:eastAsia="黑体" w:cs="黑体"/>
          <w:b w:val="0"/>
          <w:bCs/>
          <w:color w:val="auto"/>
          <w:highlight w:val="none"/>
        </w:rPr>
      </w:pPr>
      <w:r>
        <w:rPr>
          <w:rFonts w:hint="eastAsia" w:ascii="宋体" w:hAnsi="宋体" w:eastAsia="宋体" w:cs="宋体"/>
          <w:b w:val="0"/>
          <w:bCs/>
          <w:color w:val="auto"/>
          <w:sz w:val="20"/>
          <w:szCs w:val="20"/>
          <w:highlight w:val="none"/>
        </w:rPr>
        <w:br w:type="page"/>
      </w:r>
    </w:p>
    <w:p w14:paraId="230D9F9E">
      <w:pPr>
        <w:shd w:val="clear"/>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附件1：采购需求</w:t>
      </w:r>
    </w:p>
    <w:p w14:paraId="4CD448EA">
      <w:pPr>
        <w:shd w:val="clear"/>
        <w:rPr>
          <w:rFonts w:hint="eastAsia" w:ascii="黑体" w:hAnsi="黑体" w:eastAsia="黑体" w:cs="黑体"/>
          <w:b w:val="0"/>
          <w:bCs/>
          <w:color w:val="auto"/>
          <w:highlight w:val="none"/>
        </w:rPr>
      </w:pPr>
      <w:r>
        <w:rPr>
          <w:rFonts w:hint="eastAsia" w:ascii="黑体" w:hAnsi="黑体" w:eastAsia="黑体" w:cs="黑体"/>
          <w:b w:val="0"/>
          <w:bCs/>
          <w:color w:val="auto"/>
          <w:highlight w:val="none"/>
        </w:rPr>
        <w:br w:type="page"/>
      </w:r>
    </w:p>
    <w:p w14:paraId="11A04660">
      <w:pPr>
        <w:shd w:val="clea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附件2：服务考核评价表</w:t>
      </w:r>
    </w:p>
    <w:p w14:paraId="09C23052">
      <w:pPr>
        <w:shd w:val="clear"/>
        <w:spacing w:line="240" w:lineRule="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服务单位：</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 xml:space="preserve">  </w:t>
      </w:r>
    </w:p>
    <w:p w14:paraId="72CAFFBD">
      <w:pPr>
        <w:shd w:val="clear"/>
        <w:spacing w:line="240" w:lineRule="auto"/>
        <w:rPr>
          <w:rFonts w:hint="eastAsia" w:ascii="宋体" w:hAnsi="宋体" w:eastAsia="宋体" w:cs="宋体"/>
          <w:b/>
          <w:bCs/>
          <w:color w:val="auto"/>
          <w:sz w:val="20"/>
          <w:szCs w:val="20"/>
          <w:highlight w:val="none"/>
        </w:rPr>
      </w:pPr>
      <w:r>
        <w:rPr>
          <w:rFonts w:hint="eastAsia" w:ascii="宋体" w:hAnsi="宋体" w:eastAsia="宋体" w:cs="宋体"/>
          <w:b w:val="0"/>
          <w:bCs w:val="0"/>
          <w:color w:val="auto"/>
          <w:sz w:val="20"/>
          <w:szCs w:val="20"/>
          <w:highlight w:val="none"/>
        </w:rPr>
        <w:t>服务期限：</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年</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u w:val="single"/>
          <w:lang w:val="en-US" w:eastAsia="zh-CN"/>
        </w:rPr>
        <w:t xml:space="preserve"> </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月</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u w:val="single"/>
          <w:lang w:val="en-US" w:eastAsia="zh-CN"/>
        </w:rPr>
        <w:t xml:space="preserve"> </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 xml:space="preserve">日 - </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年</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u w:val="single"/>
          <w:lang w:val="en-US" w:eastAsia="zh-CN"/>
        </w:rPr>
        <w:t xml:space="preserve"> </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rPr>
        <w:t>月</w:t>
      </w:r>
      <w:r>
        <w:rPr>
          <w:rFonts w:hint="eastAsia" w:ascii="宋体" w:hAnsi="宋体" w:eastAsia="宋体" w:cs="宋体"/>
          <w:b w:val="0"/>
          <w:bCs w:val="0"/>
          <w:color w:val="auto"/>
          <w:sz w:val="20"/>
          <w:szCs w:val="20"/>
          <w:highlight w:val="none"/>
          <w:u w:val="single"/>
        </w:rPr>
        <w:t xml:space="preserve">  </w:t>
      </w:r>
      <w:r>
        <w:rPr>
          <w:rFonts w:hint="eastAsia" w:ascii="宋体" w:hAnsi="宋体" w:eastAsia="宋体" w:cs="宋体"/>
          <w:b w:val="0"/>
          <w:bCs w:val="0"/>
          <w:color w:val="auto"/>
          <w:sz w:val="20"/>
          <w:szCs w:val="20"/>
          <w:highlight w:val="none"/>
          <w:u w:val="single"/>
          <w:lang w:val="en-US" w:eastAsia="zh-CN"/>
        </w:rPr>
        <w:t xml:space="preserve"> </w:t>
      </w:r>
      <w:r>
        <w:rPr>
          <w:rFonts w:hint="eastAsia" w:ascii="宋体" w:hAnsi="宋体" w:eastAsia="宋体" w:cs="宋体"/>
          <w:b w:val="0"/>
          <w:bCs w:val="0"/>
          <w:color w:val="auto"/>
          <w:sz w:val="20"/>
          <w:szCs w:val="20"/>
          <w:highlight w:val="none"/>
        </w:rPr>
        <w:t>日</w:t>
      </w:r>
    </w:p>
    <w:tbl>
      <w:tblPr>
        <w:tblStyle w:val="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4355"/>
        <w:gridCol w:w="1320"/>
        <w:gridCol w:w="1630"/>
      </w:tblGrid>
      <w:tr w14:paraId="4C49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45573392">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服务内容</w:t>
            </w:r>
          </w:p>
        </w:tc>
        <w:tc>
          <w:tcPr>
            <w:tcW w:w="4355" w:type="dxa"/>
            <w:noWrap w:val="0"/>
            <w:vAlign w:val="center"/>
          </w:tcPr>
          <w:p w14:paraId="7BC811EE">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考核标准</w:t>
            </w:r>
          </w:p>
        </w:tc>
        <w:tc>
          <w:tcPr>
            <w:tcW w:w="1320" w:type="dxa"/>
            <w:noWrap w:val="0"/>
            <w:vAlign w:val="center"/>
          </w:tcPr>
          <w:p w14:paraId="1B449158">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考核情况</w:t>
            </w:r>
          </w:p>
        </w:tc>
        <w:tc>
          <w:tcPr>
            <w:tcW w:w="1630" w:type="dxa"/>
            <w:noWrap w:val="0"/>
            <w:vAlign w:val="center"/>
          </w:tcPr>
          <w:p w14:paraId="72C6BFB1">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分项考核结果</w:t>
            </w:r>
          </w:p>
        </w:tc>
      </w:tr>
      <w:tr w14:paraId="2CF6B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03741E19">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设备维修维护</w:t>
            </w:r>
          </w:p>
        </w:tc>
        <w:tc>
          <w:tcPr>
            <w:tcW w:w="4355" w:type="dxa"/>
            <w:noWrap w:val="0"/>
            <w:vAlign w:val="center"/>
          </w:tcPr>
          <w:p w14:paraId="5CDFEA8C">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乙方为保证甲方的设备正常运行提供及时的维修维护</w:t>
            </w:r>
          </w:p>
        </w:tc>
        <w:tc>
          <w:tcPr>
            <w:tcW w:w="1320" w:type="dxa"/>
            <w:noWrap w:val="0"/>
            <w:vAlign w:val="center"/>
          </w:tcPr>
          <w:p w14:paraId="5A03E447">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408E9E08">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2B7F3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76CA9892">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驻场服务</w:t>
            </w:r>
          </w:p>
        </w:tc>
        <w:tc>
          <w:tcPr>
            <w:tcW w:w="4355" w:type="dxa"/>
            <w:noWrap w:val="0"/>
            <w:vAlign w:val="center"/>
          </w:tcPr>
          <w:p w14:paraId="72443821">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派驻一名工程师在甲方现场，按照甲方考勤要求提供不低于5*8小时的驻场服务</w:t>
            </w:r>
          </w:p>
        </w:tc>
        <w:tc>
          <w:tcPr>
            <w:tcW w:w="1320" w:type="dxa"/>
            <w:noWrap w:val="0"/>
            <w:vAlign w:val="center"/>
          </w:tcPr>
          <w:p w14:paraId="29C5ACD0">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72BDC9C0">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7E26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4CFB9763">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巡检报告</w:t>
            </w:r>
          </w:p>
          <w:p w14:paraId="222B07EE">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与运维报告</w:t>
            </w:r>
          </w:p>
        </w:tc>
        <w:tc>
          <w:tcPr>
            <w:tcW w:w="4355" w:type="dxa"/>
            <w:noWrap w:val="0"/>
            <w:vAlign w:val="center"/>
          </w:tcPr>
          <w:p w14:paraId="0E11FB50">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提供设备的安全检查、运行状态检查，并提供当年的系统状态报告</w:t>
            </w:r>
          </w:p>
        </w:tc>
        <w:tc>
          <w:tcPr>
            <w:tcW w:w="1320" w:type="dxa"/>
            <w:noWrap w:val="0"/>
            <w:vAlign w:val="center"/>
          </w:tcPr>
          <w:p w14:paraId="65D79757">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17BC0CB3">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0FA0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6BC52EF1">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在线支持服务</w:t>
            </w:r>
          </w:p>
        </w:tc>
        <w:tc>
          <w:tcPr>
            <w:tcW w:w="4355" w:type="dxa"/>
            <w:noWrap w:val="0"/>
            <w:vAlign w:val="center"/>
          </w:tcPr>
          <w:p w14:paraId="2D0DC7E3">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在线支持：电话指导或远程诊断分析和维修有关设备。</w:t>
            </w:r>
          </w:p>
        </w:tc>
        <w:tc>
          <w:tcPr>
            <w:tcW w:w="1320" w:type="dxa"/>
            <w:noWrap w:val="0"/>
            <w:vAlign w:val="center"/>
          </w:tcPr>
          <w:p w14:paraId="3AAF473F">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6F529617">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6E9D0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49BA0B47">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现场检修</w:t>
            </w:r>
          </w:p>
        </w:tc>
        <w:tc>
          <w:tcPr>
            <w:tcW w:w="4355" w:type="dxa"/>
            <w:noWrap w:val="0"/>
            <w:vAlign w:val="center"/>
          </w:tcPr>
          <w:p w14:paraId="6418AD7F">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接到院方维修通知，在电话指导或远程诊断无效后，派遣工程师前往维修，宕机情况下1小时到达现场。现场服务后 2 天内向甲方提供书面检修报告。</w:t>
            </w:r>
          </w:p>
        </w:tc>
        <w:tc>
          <w:tcPr>
            <w:tcW w:w="1320" w:type="dxa"/>
            <w:noWrap w:val="0"/>
            <w:vAlign w:val="center"/>
          </w:tcPr>
          <w:p w14:paraId="2114CC98">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04049254">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5930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774506E1">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紧急检修</w:t>
            </w:r>
          </w:p>
        </w:tc>
        <w:tc>
          <w:tcPr>
            <w:tcW w:w="4355" w:type="dxa"/>
            <w:noWrap w:val="0"/>
            <w:vAlign w:val="center"/>
          </w:tcPr>
          <w:p w14:paraId="0B3ABD99">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因甲方设备突发故障状况需维修，乙方接到甲方电话或传真通知后应于</w:t>
            </w:r>
            <w:r>
              <w:rPr>
                <w:rFonts w:hint="eastAsia" w:ascii="宋体" w:hAnsi="宋体" w:eastAsia="宋体" w:cs="宋体"/>
                <w:color w:val="auto"/>
                <w:kern w:val="0"/>
                <w:sz w:val="20"/>
                <w:szCs w:val="20"/>
                <w:highlight w:val="none"/>
                <w:u w:val="single"/>
              </w:rPr>
              <w:t>2</w:t>
            </w:r>
            <w:r>
              <w:rPr>
                <w:rFonts w:hint="eastAsia" w:ascii="宋体" w:hAnsi="宋体" w:eastAsia="宋体" w:cs="宋体"/>
                <w:color w:val="auto"/>
                <w:kern w:val="0"/>
                <w:sz w:val="20"/>
                <w:szCs w:val="20"/>
                <w:highlight w:val="none"/>
              </w:rPr>
              <w:t>小时内到达现场进行维修。现场服务后</w:t>
            </w:r>
            <w:r>
              <w:rPr>
                <w:rFonts w:hint="eastAsia" w:ascii="宋体" w:hAnsi="宋体" w:eastAsia="宋体" w:cs="宋体"/>
                <w:color w:val="auto"/>
                <w:kern w:val="0"/>
                <w:sz w:val="20"/>
                <w:szCs w:val="20"/>
                <w:highlight w:val="none"/>
                <w:u w:val="single"/>
              </w:rPr>
              <w:t xml:space="preserve"> 2 </w:t>
            </w:r>
            <w:r>
              <w:rPr>
                <w:rFonts w:hint="eastAsia" w:ascii="宋体" w:hAnsi="宋体" w:eastAsia="宋体" w:cs="宋体"/>
                <w:color w:val="auto"/>
                <w:kern w:val="0"/>
                <w:sz w:val="20"/>
                <w:szCs w:val="20"/>
                <w:highlight w:val="none"/>
              </w:rPr>
              <w:t>天内向甲方提供书面检修报告。</w:t>
            </w:r>
          </w:p>
        </w:tc>
        <w:tc>
          <w:tcPr>
            <w:tcW w:w="1320" w:type="dxa"/>
            <w:noWrap w:val="0"/>
            <w:vAlign w:val="center"/>
          </w:tcPr>
          <w:p w14:paraId="4CB1D0B3">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51F6837F">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07C2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31FCC395">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保养</w:t>
            </w:r>
          </w:p>
        </w:tc>
        <w:tc>
          <w:tcPr>
            <w:tcW w:w="4355" w:type="dxa"/>
            <w:noWrap w:val="0"/>
            <w:vAlign w:val="center"/>
          </w:tcPr>
          <w:p w14:paraId="4C88BB89">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在合同期内，乙方对设备每年提供</w:t>
            </w:r>
            <w:r>
              <w:rPr>
                <w:rFonts w:hint="eastAsia" w:ascii="宋体" w:hAnsi="宋体" w:eastAsia="宋体" w:cs="宋体"/>
                <w:color w:val="auto"/>
                <w:kern w:val="0"/>
                <w:sz w:val="20"/>
                <w:szCs w:val="20"/>
                <w:highlight w:val="none"/>
                <w:u w:val="single"/>
              </w:rPr>
              <w:t xml:space="preserve"> 2 </w:t>
            </w:r>
            <w:r>
              <w:rPr>
                <w:rFonts w:hint="eastAsia" w:ascii="宋体" w:hAnsi="宋体" w:eastAsia="宋体" w:cs="宋体"/>
                <w:color w:val="auto"/>
                <w:kern w:val="0"/>
                <w:sz w:val="20"/>
                <w:szCs w:val="20"/>
                <w:highlight w:val="none"/>
              </w:rPr>
              <w:t>次定期维护、保养（保养时间由双方自行约定），计划性定期的维修服务检测包括设备清洁等服务，每次保养后</w:t>
            </w:r>
            <w:r>
              <w:rPr>
                <w:rFonts w:hint="eastAsia" w:ascii="宋体" w:hAnsi="宋体" w:eastAsia="宋体" w:cs="宋体"/>
                <w:color w:val="auto"/>
                <w:kern w:val="0"/>
                <w:sz w:val="20"/>
                <w:szCs w:val="20"/>
                <w:highlight w:val="none"/>
                <w:u w:val="single"/>
              </w:rPr>
              <w:t xml:space="preserve"> 2 </w:t>
            </w:r>
            <w:r>
              <w:rPr>
                <w:rFonts w:hint="eastAsia" w:ascii="宋体" w:hAnsi="宋体" w:eastAsia="宋体" w:cs="宋体"/>
                <w:color w:val="auto"/>
                <w:kern w:val="0"/>
                <w:sz w:val="20"/>
                <w:szCs w:val="20"/>
                <w:highlight w:val="none"/>
              </w:rPr>
              <w:t>天内向甲方提供保养报告。</w:t>
            </w:r>
          </w:p>
        </w:tc>
        <w:tc>
          <w:tcPr>
            <w:tcW w:w="1320" w:type="dxa"/>
            <w:noWrap w:val="0"/>
            <w:vAlign w:val="center"/>
          </w:tcPr>
          <w:p w14:paraId="7D3C99D2">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481BFCAC">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21EF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03B5DF46">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开机率</w:t>
            </w:r>
          </w:p>
        </w:tc>
        <w:tc>
          <w:tcPr>
            <w:tcW w:w="4355" w:type="dxa"/>
            <w:noWrap w:val="0"/>
            <w:vAlign w:val="center"/>
          </w:tcPr>
          <w:p w14:paraId="11D2771B">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乙方对系统开机保证率及服务标准作以下保证：在合同期内保证</w:t>
            </w:r>
            <w:r>
              <w:rPr>
                <w:rFonts w:hint="eastAsia" w:ascii="宋体" w:hAnsi="宋体" w:eastAsia="宋体" w:cs="宋体"/>
                <w:color w:val="auto"/>
                <w:kern w:val="0"/>
                <w:sz w:val="20"/>
                <w:szCs w:val="20"/>
                <w:highlight w:val="none"/>
                <w:u w:val="single"/>
              </w:rPr>
              <w:t xml:space="preserve"> 95 </w:t>
            </w:r>
            <w:r>
              <w:rPr>
                <w:rFonts w:hint="eastAsia" w:ascii="宋体" w:hAnsi="宋体" w:eastAsia="宋体" w:cs="宋体"/>
                <w:color w:val="auto"/>
                <w:kern w:val="0"/>
                <w:sz w:val="20"/>
                <w:szCs w:val="20"/>
                <w:highlight w:val="none"/>
              </w:rPr>
              <w:t>%的开机率，按一年365日计算。</w:t>
            </w:r>
          </w:p>
        </w:tc>
        <w:tc>
          <w:tcPr>
            <w:tcW w:w="1320" w:type="dxa"/>
            <w:noWrap w:val="0"/>
            <w:vAlign w:val="center"/>
          </w:tcPr>
          <w:p w14:paraId="7C65AE4C">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6564C904">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24F0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7" w:type="dxa"/>
            <w:noWrap w:val="0"/>
            <w:vAlign w:val="center"/>
          </w:tcPr>
          <w:p w14:paraId="401EE7AC">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升级服务</w:t>
            </w:r>
          </w:p>
        </w:tc>
        <w:tc>
          <w:tcPr>
            <w:tcW w:w="4355" w:type="dxa"/>
            <w:noWrap w:val="0"/>
            <w:vAlign w:val="center"/>
          </w:tcPr>
          <w:p w14:paraId="7A11B642">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甲方享有安全升级免费或增加系统功能的优惠，乙方应对甲方提出的要求给予及时改进，最迟不超过甲方向乙方提出后</w:t>
            </w:r>
            <w:r>
              <w:rPr>
                <w:rFonts w:hint="eastAsia" w:ascii="宋体" w:hAnsi="宋体" w:eastAsia="宋体" w:cs="宋体"/>
                <w:color w:val="auto"/>
                <w:kern w:val="0"/>
                <w:sz w:val="20"/>
                <w:szCs w:val="20"/>
                <w:highlight w:val="none"/>
                <w:u w:val="single"/>
              </w:rPr>
              <w:t>3</w:t>
            </w:r>
            <w:r>
              <w:rPr>
                <w:rFonts w:hint="eastAsia" w:ascii="宋体" w:hAnsi="宋体" w:eastAsia="宋体" w:cs="宋体"/>
                <w:color w:val="auto"/>
                <w:kern w:val="0"/>
                <w:sz w:val="20"/>
                <w:szCs w:val="20"/>
                <w:highlight w:val="none"/>
              </w:rPr>
              <w:t>天开始改进工作，并于</w:t>
            </w:r>
            <w:r>
              <w:rPr>
                <w:rFonts w:hint="eastAsia" w:ascii="宋体" w:hAnsi="宋体" w:eastAsia="宋体" w:cs="宋体"/>
                <w:color w:val="auto"/>
                <w:kern w:val="0"/>
                <w:sz w:val="20"/>
                <w:szCs w:val="20"/>
                <w:highlight w:val="none"/>
                <w:u w:val="single"/>
              </w:rPr>
              <w:t xml:space="preserve"> 7 </w:t>
            </w:r>
            <w:r>
              <w:rPr>
                <w:rFonts w:hint="eastAsia" w:ascii="宋体" w:hAnsi="宋体" w:eastAsia="宋体" w:cs="宋体"/>
                <w:color w:val="auto"/>
                <w:kern w:val="0"/>
                <w:sz w:val="20"/>
                <w:szCs w:val="20"/>
                <w:highlight w:val="none"/>
              </w:rPr>
              <w:t>天内改进完毕。</w:t>
            </w:r>
          </w:p>
        </w:tc>
        <w:tc>
          <w:tcPr>
            <w:tcW w:w="1320" w:type="dxa"/>
            <w:noWrap w:val="0"/>
            <w:vAlign w:val="center"/>
          </w:tcPr>
          <w:p w14:paraId="0B582BC7">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0"/>
                <w:sz w:val="20"/>
                <w:szCs w:val="20"/>
                <w:highlight w:val="none"/>
              </w:rPr>
            </w:pPr>
          </w:p>
        </w:tc>
        <w:tc>
          <w:tcPr>
            <w:tcW w:w="1630" w:type="dxa"/>
            <w:noWrap w:val="0"/>
            <w:vAlign w:val="center"/>
          </w:tcPr>
          <w:p w14:paraId="338CAA98">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0F91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1517" w:type="dxa"/>
            <w:noWrap w:val="0"/>
            <w:vAlign w:val="center"/>
          </w:tcPr>
          <w:p w14:paraId="4A38C62F">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公司自评情况</w:t>
            </w:r>
          </w:p>
        </w:tc>
        <w:tc>
          <w:tcPr>
            <w:tcW w:w="7305" w:type="dxa"/>
            <w:gridSpan w:val="3"/>
            <w:noWrap w:val="0"/>
            <w:vAlign w:val="center"/>
          </w:tcPr>
          <w:p w14:paraId="5425E781">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08C3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1517" w:type="dxa"/>
            <w:noWrap w:val="0"/>
            <w:vAlign w:val="center"/>
          </w:tcPr>
          <w:p w14:paraId="38ADCC55">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总体考评结果</w:t>
            </w:r>
          </w:p>
        </w:tc>
        <w:tc>
          <w:tcPr>
            <w:tcW w:w="7305" w:type="dxa"/>
            <w:gridSpan w:val="3"/>
            <w:noWrap w:val="0"/>
            <w:vAlign w:val="center"/>
          </w:tcPr>
          <w:p w14:paraId="708FBF06">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r w14:paraId="7975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517" w:type="dxa"/>
            <w:noWrap w:val="0"/>
            <w:vAlign w:val="center"/>
          </w:tcPr>
          <w:p w14:paraId="565095B2">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考核人</w:t>
            </w:r>
          </w:p>
        </w:tc>
        <w:tc>
          <w:tcPr>
            <w:tcW w:w="7305" w:type="dxa"/>
            <w:gridSpan w:val="3"/>
            <w:noWrap w:val="0"/>
            <w:vAlign w:val="center"/>
          </w:tcPr>
          <w:p w14:paraId="40BB8019">
            <w:pPr>
              <w:keepNext w:val="0"/>
              <w:keepLines w:val="0"/>
              <w:pageBreakBefore w:val="0"/>
              <w:widowControl w:val="0"/>
              <w:shd w:val="clea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0"/>
                <w:sz w:val="20"/>
                <w:szCs w:val="20"/>
                <w:highlight w:val="none"/>
              </w:rPr>
            </w:pPr>
          </w:p>
        </w:tc>
      </w:tr>
    </w:tbl>
    <w:p w14:paraId="64CA9488">
      <w:pPr>
        <w:shd w:val="clear"/>
        <w:spacing w:line="420" w:lineRule="exact"/>
      </w:pPr>
      <w:r>
        <w:rPr>
          <w:rFonts w:hint="eastAsia" w:ascii="宋体" w:hAnsi="宋体" w:eastAsia="宋体" w:cs="宋体"/>
          <w:color w:val="auto"/>
          <w:sz w:val="20"/>
          <w:szCs w:val="20"/>
          <w:highlight w:val="none"/>
        </w:rPr>
        <w:t>附件：工作量记录、机房巡查记录、巡检报告已装订进年度总结报告。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6E03">
    <w:pPr>
      <w:spacing w:line="183" w:lineRule="auto"/>
      <w:ind w:left="4575"/>
      <w:rPr>
        <w:rFonts w:ascii="宋体" w:hAnsi="宋体" w:eastAsia="宋体" w:cs="宋体"/>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5B3295">
                          <w:pPr>
                            <w:pStyle w:val="4"/>
                          </w:pPr>
                          <w:r>
                            <w:fldChar w:fldCharType="begin"/>
                          </w:r>
                          <w:r>
                            <w:instrText xml:space="preserve"> PAGE  \* MERGEFORMAT </w:instrText>
                          </w:r>
                          <w:r>
                            <w:fldChar w:fldCharType="separate"/>
                          </w:r>
                          <w:r>
                            <w:t>15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375B3295">
                    <w:pPr>
                      <w:pStyle w:val="4"/>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2226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5391D"/>
    <w:multiLevelType w:val="singleLevel"/>
    <w:tmpl w:val="57B539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90AD5"/>
    <w:rsid w:val="51F90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before="50" w:beforeLines="50" w:line="360" w:lineRule="auto"/>
      <w:ind w:firstLine="643" w:firstLineChars="200"/>
    </w:pPr>
    <w:rPr>
      <w:rFonts w:ascii="Times New Roman" w:hAnsi="Times New Roman" w:eastAsia="宋体" w:cs="Times New Roman"/>
      <w:sz w:val="24"/>
    </w:rPr>
  </w:style>
  <w:style w:type="paragraph" w:styleId="3">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7">
    <w:name w:val="Table Grid"/>
    <w:basedOn w:val="6"/>
    <w:qFormat/>
    <w:uiPriority w:val="59"/>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2025-11-28T09:53:00Z</dcterms:created>
  <dc:creator>开瑞</dc:creator>
  <cp:lastModifiedBy>开瑞</cp:lastModifiedBy>
  <dcterms:modified xsi:type="dcterms:W3CDTF">2025-11-28T09:54:23Z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1F591EC38F0C4BD4ADE5DC2F43CD341B_11</vt:lpwstr>
  </property>
  <property fmtid="{D5CDD505-2E9C-101B-9397-08002B2CF9AE}" pid="4" name="KSOTemplateDocerSaveRecord">
    <vt:lpwstr>eyJoZGlkIjoiZmNkYTQxN2FhMzNjOTUyZjc2ODI5ZDk4ZWQwMzRlODgiLCJ1c2VySWQiOiI2Nzc1OTA0NzIifQ==</vt:lpwstr>
  </property>
</Properties>
</file>