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版本号：JD-SXXA-202501220251212002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2025年度市资源规划系统法治政府体系建设项目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JD-SXXA-2025012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西安久东信息科技有限公司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西安久东信息科技有限公司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2025年度市资源规划系统法治政府体系建设项目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JD-SXXA-2025012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2025年度市资源规划系统法治政府体系建设项目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化西安市资源规划系统法治建设，全面提升人员法治意识及依法行政能力，我局拟采购市资源规划系统法治政府体系建设项目。结合我局当前工作计划安排，具体包括西安市国土空间规划条例的深化研究和行政执法评估两方面内容。为确保研究内容的高质高效，拟通过委托第三方单位组织专家、学者开展调研、论证等程序，形成项目成果予以实施，进一步提升法治能力和法治水平，为推进我市资源规划高质量发展提供坚强有力的法治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经审计的完整财务报告（包括资产负债表、利润表、现金流量表、股东权益变动表及报表附注，），成立时间至提交响应文件截止时间不足一年的，可提供成立后任意时段的资产负债表，或开标前六个月内其基本存款账户银行出具的资信证明及开户许可证或基本存款账户信息。(注：2022年10月1日后出具的审计报告应当经过注册会计师行业统一监管平台备案赋码）</w:t>
      </w:r>
    </w:p>
    <w:p>
      <w:pPr>
        <w:pStyle w:val="null3"/>
      </w:pPr>
      <w:r>
        <w:rPr>
          <w:rFonts w:ascii="仿宋_GB2312" w:hAnsi="仿宋_GB2312" w:cs="仿宋_GB2312" w:eastAsia="仿宋_GB2312"/>
        </w:rPr>
        <w:t>3、税收缴纳证明：提供2025年1月至实施采购日已缴纳的至少连续一个月的纳税证明(银行缴费凭证)或完税证明，完税证明上应有代收机构或税务机关的公章；依法免税的供应商应提供相关文件证明；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4、社会保障资金缴纳证明：提供2025年1月至实施采购日已缴纳的至少连续一个月的社保缴纳证明材料，依法不需要缴纳的单位应提供相关证明材料；</w:t>
      </w:r>
    </w:p>
    <w:p>
      <w:pPr>
        <w:pStyle w:val="null3"/>
      </w:pPr>
      <w:r>
        <w:rPr>
          <w:rFonts w:ascii="仿宋_GB2312" w:hAnsi="仿宋_GB2312" w:cs="仿宋_GB2312" w:eastAsia="仿宋_GB2312"/>
        </w:rPr>
        <w:t>5、无重大违法记录声明：参加政府采购活动前3年内，在经营活动中没有重大违法记录。</w:t>
      </w:r>
    </w:p>
    <w:p>
      <w:pPr>
        <w:pStyle w:val="null3"/>
      </w:pPr>
      <w:r>
        <w:rPr>
          <w:rFonts w:ascii="仿宋_GB2312" w:hAnsi="仿宋_GB2312" w:cs="仿宋_GB2312" w:eastAsia="仿宋_GB2312"/>
        </w:rPr>
        <w:t>6、供应商信誉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7、供应商履约能力：供应商具备履行合同所必需的设备和专业技术能力。</w:t>
      </w:r>
    </w:p>
    <w:p>
      <w:pPr>
        <w:pStyle w:val="null3"/>
      </w:pPr>
      <w:r>
        <w:rPr>
          <w:rFonts w:ascii="仿宋_GB2312" w:hAnsi="仿宋_GB2312" w:cs="仿宋_GB2312" w:eastAsia="仿宋_GB2312"/>
        </w:rPr>
        <w:t>8、授权书：法定代表人直接参加投标的，须出具法定代表人身份证明。授权代表参加投标的，须出具法定代表人授权书，并附法定代表人和被授权人身份证明，及被授权人社保缴纳证明。</w:t>
      </w:r>
    </w:p>
    <w:p>
      <w:pPr>
        <w:pStyle w:val="null3"/>
      </w:pPr>
      <w:r>
        <w:rPr>
          <w:rFonts w:ascii="仿宋_GB2312" w:hAnsi="仿宋_GB2312" w:cs="仿宋_GB2312" w:eastAsia="仿宋_GB2312"/>
        </w:rPr>
        <w:t>9、控股、管理关系：单位负责人为同一人或者存在直接控股、管理关系的不同供应商不得参加统一合同项下的政府采购活动。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西安市未央区凤城九路135号市级机关凤城九路办公区10-14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西安久东信息科技有限公司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陕西省西安市未央区陕西省西安市经济技术开发区海博广场别墅区东二202室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029-83225855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代理服务费收费标准：参照原国家计委计价格【2002】1980号文和国家发改委发改办价格【2011】534号文的计算方法向成交人收取 成交供应商的招标代理服务费交纳信息 银行户名：西安久东信息科技有限公司 开户银行：招商银行股份有限公司西安西影路支行 银行账号：129912259110201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西安久东信息科技有限公司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西安久东信息科技有限公司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西安久东信息科技有限公司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西安久东信息科技有限公司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西安久东信息科技有限公司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西安久东信息科技有限公司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联系人：李瑞</w:t>
      </w:r>
    </w:p>
    <w:p>
      <w:pPr>
        <w:pStyle w:val="null3"/>
      </w:pPr>
      <w:r>
        <w:rPr>
          <w:rFonts w:ascii="仿宋_GB2312" w:hAnsi="仿宋_GB2312" w:cs="仿宋_GB2312" w:eastAsia="仿宋_GB2312"/>
        </w:rPr>
        <w:t>联系电话：029-83225855</w:t>
      </w:r>
    </w:p>
    <w:p>
      <w:pPr>
        <w:pStyle w:val="null3"/>
      </w:pPr>
      <w:r>
        <w:rPr>
          <w:rFonts w:ascii="仿宋_GB2312" w:hAnsi="仿宋_GB2312" w:cs="仿宋_GB2312" w:eastAsia="仿宋_GB2312"/>
        </w:rPr>
        <w:t>地址：陕西省西安市经济技术开发区凤城九路海博广场别墅区东二202室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化西安市资源规划系统法治建设，全面提升人员法治意识及依法行政能力，我局拟采购市资源规划系统法治政府体系建设项目。结合我局当前工作计划安排，具体包括西安市国土空间规划条例的深化研究和行政执法评估两方面内容。为确保研究内容的高质高效，拟通过委托第三方单位组织专家、学者开展调研、论证等程序，形成项目成果予以实施，进一步提升法治能力和法治水平，为推进我市资源规划高质量发展提供坚强有力的法治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1,788,000.00</w:t>
      </w:r>
    </w:p>
    <w:p>
      <w:pPr>
        <w:pStyle w:val="null3"/>
      </w:pPr>
      <w:r>
        <w:rPr>
          <w:rFonts w:ascii="仿宋_GB2312" w:hAnsi="仿宋_GB2312" w:cs="仿宋_GB2312" w:eastAsia="仿宋_GB2312"/>
        </w:rPr>
        <w:t>采购包最高限价（元）: 1,788,000.00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2025年度市资源规划系统法治政府体系建设项目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标的名称：2025年度市资源规划系统法治政府体系建设项目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）项目名称：</w:t>
            </w:r>
          </w:p>
          <w:p>
            <w:pPr>
              <w:pStyle w:val="null3"/>
              <w:jc w:val="both"/>
            </w:pPr>
            <w:r>
              <w:rPr>
                <w:rFonts w:ascii="仿宋_GB2312" w:hAnsi="仿宋_GB2312" w:cs="仿宋_GB2312" w:eastAsia="仿宋_GB2312"/>
                <w:sz w:val="24"/>
              </w:rPr>
              <w:t>2025年度市资源规划系统法治政府体系建设项目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）项目地点：西安市</w:t>
            </w:r>
          </w:p>
          <w:p>
            <w:pPr>
              <w:pStyle w:val="null3"/>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）项目</w:t>
            </w:r>
            <w:r>
              <w:rPr>
                <w:rFonts w:ascii="仿宋_GB2312" w:hAnsi="仿宋_GB2312" w:cs="仿宋_GB2312" w:eastAsia="仿宋_GB2312"/>
                <w:sz w:val="24"/>
              </w:rPr>
              <w:t>概述</w:t>
            </w:r>
            <w:r>
              <w:rPr>
                <w:rFonts w:ascii="仿宋_GB2312" w:hAnsi="仿宋_GB2312" w:cs="仿宋_GB2312" w:eastAsia="仿宋_GB2312"/>
                <w:sz w:val="24"/>
              </w:rPr>
              <w:t>：</w:t>
            </w:r>
            <w:r>
              <w:rPr>
                <w:rFonts w:ascii="仿宋_GB2312" w:hAnsi="仿宋_GB2312" w:cs="仿宋_GB2312" w:eastAsia="仿宋_GB2312"/>
                <w:sz w:val="24"/>
              </w:rPr>
              <w:t>为深化西安市资源规划系统法治建设，全面提升人员法治意识及依法行政能力，我局拟采购市资源规划系统法治政府体系建设项目。结合我局当前工作计划安排，具体包括西安市国土空间规划条例的深化研究和行政执法评估两方面内容。为确保研究内容的高质高效，拟通过委托第三方单位组织专家、学者开展调研、论证等程序，形成项目成果予以实施，进一步提升法治能力和法治水平，为推进我市资源规划高质量发展提供坚强有力的法治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二、服务内容（包括工作区域、工作内容等）</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工作区域：以采购方要求为准。</w:t>
            </w:r>
          </w:p>
          <w:p>
            <w:pPr>
              <w:pStyle w:val="null3"/>
              <w:jc w:val="both"/>
            </w:pPr>
            <w:r>
              <w:rPr>
                <w:rFonts w:ascii="仿宋_GB2312" w:hAnsi="仿宋_GB2312" w:cs="仿宋_GB2312" w:eastAsia="仿宋_GB2312"/>
                <w:sz w:val="24"/>
              </w:rPr>
              <w:t>（二）工作内容：</w:t>
            </w:r>
          </w:p>
          <w:p>
            <w:pPr>
              <w:pStyle w:val="null3"/>
              <w:jc w:val="both"/>
            </w:pPr>
            <w:r>
              <w:rPr>
                <w:rFonts w:ascii="仿宋_GB2312" w:hAnsi="仿宋_GB2312" w:cs="仿宋_GB2312" w:eastAsia="仿宋_GB2312"/>
                <w:sz w:val="24"/>
              </w:rPr>
              <w:t>1.西安市国土空间规划条例的深化研究。在当前国土空间条例研究基础上，进一步了解国内各地方的立法情况，立足于我市国土空间规划实际，形成国土空间规划条例立法调研报告；根据立法调研报告修改调整已形成的《西安市国土空间规划条例》初稿前期成果，同时邀请行政法领域专家组织论证，针对西安市国土空间规划条例立法的程序、主体、成果内容等问题提出切实可行的建议举措，撰写详细的论证研究报告，视情采纳专家意见，形成《西安市国土空间规划条例》草案（初稿）。</w:t>
            </w:r>
          </w:p>
          <w:p>
            <w:pPr>
              <w:pStyle w:val="null3"/>
            </w:pPr>
            <w:r>
              <w:rPr>
                <w:rFonts w:ascii="仿宋_GB2312" w:hAnsi="仿宋_GB2312" w:cs="仿宋_GB2312" w:eastAsia="仿宋_GB2312"/>
                <w:sz w:val="24"/>
              </w:rPr>
              <w:t>2.行政执法评估。对标《陕西省行政执法质量考评指标体系》，由专家对我局系统执法人员工作情况依照行政执法指标体系进行评估，根据指标任务落实情况进行量化打分，并对我局行政执法工作进行分析研究，形成行政执法评估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三、服务要求（如对人员配置、专业设备、服务标准等）</w:t>
            </w:r>
          </w:p>
          <w:p>
            <w:pPr>
              <w:pStyle w:val="null3"/>
              <w:jc w:val="both"/>
            </w:pPr>
            <w:r>
              <w:rPr>
                <w:rFonts w:ascii="仿宋_GB2312" w:hAnsi="仿宋_GB2312" w:cs="仿宋_GB2312" w:eastAsia="仿宋_GB2312"/>
                <w:sz w:val="24"/>
              </w:rPr>
              <w:t>（一）人员配置</w:t>
            </w:r>
          </w:p>
          <w:p>
            <w:pPr>
              <w:pStyle w:val="null3"/>
              <w:jc w:val="both"/>
            </w:pPr>
            <w:r>
              <w:rPr>
                <w:rFonts w:ascii="仿宋_GB2312" w:hAnsi="仿宋_GB2312" w:cs="仿宋_GB2312" w:eastAsia="仿宋_GB2312"/>
                <w:sz w:val="24"/>
              </w:rPr>
              <w:t>1.拟派项目团队配备齐全、结构合理、分工明确。团队成员应由行政法专业领域的专家教授或副教授、资深律师组成，其中每个研究项目投入高级职称专家（或执业10年以上的律师）不少于6人、中级职称专家（或执业5年以上的律师）不少于6人。</w:t>
            </w:r>
          </w:p>
          <w:p>
            <w:pPr>
              <w:pStyle w:val="null3"/>
              <w:jc w:val="both"/>
            </w:pPr>
            <w:r>
              <w:rPr>
                <w:rFonts w:ascii="仿宋_GB2312" w:hAnsi="仿宋_GB2312" w:cs="仿宋_GB2312" w:eastAsia="仿宋_GB2312"/>
                <w:sz w:val="24"/>
              </w:rPr>
              <w:t>2.项目团队成员具有高级（中级）职称资格或者律师执业资格等证书。</w:t>
            </w:r>
          </w:p>
          <w:p>
            <w:pPr>
              <w:pStyle w:val="null3"/>
              <w:jc w:val="both"/>
            </w:pPr>
            <w:r>
              <w:rPr>
                <w:rFonts w:ascii="仿宋_GB2312" w:hAnsi="仿宋_GB2312" w:cs="仿宋_GB2312" w:eastAsia="仿宋_GB2312"/>
                <w:sz w:val="24"/>
              </w:rPr>
              <w:t>（二）服务标准</w:t>
            </w:r>
          </w:p>
          <w:p>
            <w:pPr>
              <w:pStyle w:val="null3"/>
              <w:jc w:val="both"/>
            </w:pPr>
            <w:r>
              <w:rPr>
                <w:rFonts w:ascii="仿宋_GB2312" w:hAnsi="仿宋_GB2312" w:cs="仿宋_GB2312" w:eastAsia="仿宋_GB2312"/>
                <w:sz w:val="24"/>
              </w:rPr>
              <w:t>1.供应商应当勤勉、尽责地完成各项工作，及时完成委托事项，尽最大努力维护采购方的合法权益；</w:t>
            </w:r>
          </w:p>
          <w:p>
            <w:pPr>
              <w:pStyle w:val="null3"/>
              <w:jc w:val="both"/>
            </w:pPr>
            <w:r>
              <w:rPr>
                <w:rFonts w:ascii="仿宋_GB2312" w:hAnsi="仿宋_GB2312" w:cs="仿宋_GB2312" w:eastAsia="仿宋_GB2312"/>
                <w:sz w:val="24"/>
              </w:rPr>
              <w:t>2.为保证项目服务质量满足采购方对项目服务成果的要求，供应商将组织专业技术团队完成项目服务；</w:t>
            </w:r>
          </w:p>
          <w:p>
            <w:pPr>
              <w:pStyle w:val="null3"/>
              <w:jc w:val="both"/>
            </w:pPr>
            <w:r>
              <w:rPr>
                <w:rFonts w:ascii="仿宋_GB2312" w:hAnsi="仿宋_GB2312" w:cs="仿宋_GB2312" w:eastAsia="仿宋_GB2312"/>
                <w:sz w:val="24"/>
              </w:rPr>
              <w:t>3.通过对资源规划领域有先进工作经验的地区和各县市考察调研，召开咨询会议并且组织专家研讨等方式，最终形成研究报告。经第三方专家评估论证后，提交采购方；</w:t>
            </w:r>
          </w:p>
          <w:p>
            <w:pPr>
              <w:pStyle w:val="null3"/>
              <w:jc w:val="both"/>
            </w:pPr>
            <w:r>
              <w:rPr>
                <w:rFonts w:ascii="仿宋_GB2312" w:hAnsi="仿宋_GB2312" w:cs="仿宋_GB2312" w:eastAsia="仿宋_GB2312"/>
                <w:sz w:val="24"/>
              </w:rPr>
              <w:t>4.供应商对其在处理采购方法律事务过程中获知的采购方(含关联公司) 商业秘密负有保密责任，非由法律规定或者采购方同意，不得向任何第三方披露；</w:t>
            </w:r>
          </w:p>
          <w:p>
            <w:pPr>
              <w:pStyle w:val="null3"/>
            </w:pPr>
            <w:r>
              <w:rPr>
                <w:rFonts w:ascii="仿宋_GB2312" w:hAnsi="仿宋_GB2312" w:cs="仿宋_GB2312" w:eastAsia="仿宋_GB2312"/>
                <w:sz w:val="24"/>
              </w:rPr>
              <w:t>5.供应商对采购方资料应当单独建档，并保存完整的工作记录，对涉及采购方原始证据、法律文件和财物应当妥善保管。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商务要求（如服务期限、款项结算等）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合同签订之日起</w:t>
            </w:r>
            <w:r>
              <w:rPr>
                <w:rFonts w:ascii="仿宋_GB2312" w:hAnsi="仿宋_GB2312" w:cs="仿宋_GB2312" w:eastAsia="仿宋_GB2312"/>
                <w:sz w:val="24"/>
              </w:rPr>
              <w:t>-</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分两次付款，</w:t>
            </w:r>
            <w:r>
              <w:rPr>
                <w:rFonts w:ascii="仿宋_GB2312" w:hAnsi="仿宋_GB2312" w:cs="仿宋_GB2312" w:eastAsia="仿宋_GB2312"/>
                <w:sz w:val="24"/>
              </w:rPr>
              <w:t>2026年市级部门预算批复下达后10个工作日内支付合同总价款的50%作为首付款；合同到期完工验收通过后10个工作日内支付合同总价款的50%。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）支付方式：</w:t>
            </w:r>
            <w:r>
              <w:rPr>
                <w:rFonts w:ascii="仿宋_GB2312" w:hAnsi="仿宋_GB2312" w:cs="仿宋_GB2312" w:eastAsia="仿宋_GB2312"/>
                <w:sz w:val="24"/>
              </w:rPr>
              <w:t>银行转账。</w:t>
            </w:r>
          </w:p>
          <w:p>
            <w:pPr>
              <w:pStyle w:val="null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）结算方式：</w:t>
            </w:r>
            <w:r>
              <w:rPr>
                <w:rFonts w:ascii="仿宋_GB2312" w:hAnsi="仿宋_GB2312" w:cs="仿宋_GB2312" w:eastAsia="仿宋_GB2312"/>
                <w:sz w:val="24"/>
              </w:rPr>
              <w:t>项目</w:t>
            </w:r>
            <w:r>
              <w:rPr>
                <w:rFonts w:ascii="仿宋_GB2312" w:hAnsi="仿宋_GB2312" w:cs="仿宋_GB2312" w:eastAsia="仿宋_GB2312"/>
                <w:sz w:val="24"/>
              </w:rPr>
              <w:t>验收合格后填写政府采购项目验收单，</w:t>
            </w:r>
            <w:r>
              <w:rPr>
                <w:rFonts w:ascii="仿宋_GB2312" w:hAnsi="仿宋_GB2312" w:cs="仿宋_GB2312" w:eastAsia="仿宋_GB2312"/>
                <w:sz w:val="24"/>
              </w:rPr>
              <w:t>发</w:t>
            </w:r>
            <w:r>
              <w:rPr>
                <w:rFonts w:ascii="仿宋_GB2312" w:hAnsi="仿宋_GB2312" w:cs="仿宋_GB2312" w:eastAsia="仿宋_GB2312"/>
                <w:sz w:val="24"/>
              </w:rPr>
              <w:t>票（按合同总价直开采购方），供应商持中标通知书、服务合同、正式发票、政府采购项目验收单，与采购方结算。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其他（如有要求，请写明）</w:t>
            </w:r>
          </w:p>
          <w:p>
            <w:pPr>
              <w:pStyle w:val="null3"/>
              <w:jc w:val="both"/>
            </w:pPr>
            <w:r>
              <w:rPr>
                <w:rFonts w:ascii="仿宋_GB2312" w:hAnsi="仿宋_GB2312" w:cs="仿宋_GB2312" w:eastAsia="仿宋_GB2312"/>
                <w:sz w:val="24"/>
              </w:rPr>
              <w:t>（一）对供应商的业绩要求</w:t>
            </w:r>
          </w:p>
          <w:p>
            <w:pPr>
              <w:pStyle w:val="null3"/>
              <w:jc w:val="both"/>
            </w:pPr>
            <w:r>
              <w:rPr>
                <w:rFonts w:ascii="仿宋_GB2312" w:hAnsi="仿宋_GB2312" w:cs="仿宋_GB2312" w:eastAsia="仿宋_GB2312"/>
                <w:sz w:val="24"/>
              </w:rPr>
              <w:t>近</w:t>
            </w:r>
            <w:r>
              <w:rPr>
                <w:rFonts w:ascii="仿宋_GB2312" w:hAnsi="仿宋_GB2312" w:cs="仿宋_GB2312" w:eastAsia="仿宋_GB2312"/>
                <w:sz w:val="24"/>
              </w:rPr>
              <w:t>五</w:t>
            </w:r>
            <w:r>
              <w:rPr>
                <w:rFonts w:ascii="仿宋_GB2312" w:hAnsi="仿宋_GB2312" w:cs="仿宋_GB2312" w:eastAsia="仿宋_GB2312"/>
                <w:sz w:val="24"/>
              </w:rPr>
              <w:t>年具有类似项目服务业绩。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）成果交付要求</w:t>
            </w:r>
          </w:p>
          <w:p>
            <w:pPr>
              <w:pStyle w:val="null3"/>
              <w:jc w:val="both"/>
            </w:pPr>
            <w:r>
              <w:rPr>
                <w:rFonts w:ascii="仿宋_GB2312" w:hAnsi="仿宋_GB2312" w:cs="仿宋_GB2312" w:eastAsia="仿宋_GB2312"/>
                <w:sz w:val="24"/>
              </w:rPr>
              <w:t>供应商</w:t>
            </w:r>
            <w:r>
              <w:rPr>
                <w:rFonts w:ascii="仿宋_GB2312" w:hAnsi="仿宋_GB2312" w:cs="仿宋_GB2312" w:eastAsia="仿宋_GB2312"/>
                <w:sz w:val="24"/>
              </w:rPr>
              <w:t>根据</w:t>
            </w:r>
            <w:r>
              <w:rPr>
                <w:rFonts w:ascii="仿宋_GB2312" w:hAnsi="仿宋_GB2312" w:cs="仿宋_GB2312" w:eastAsia="仿宋_GB2312"/>
                <w:sz w:val="24"/>
              </w:rPr>
              <w:t>采购方</w:t>
            </w:r>
            <w:r>
              <w:rPr>
                <w:rFonts w:ascii="仿宋_GB2312" w:hAnsi="仿宋_GB2312" w:cs="仿宋_GB2312" w:eastAsia="仿宋_GB2312"/>
                <w:sz w:val="24"/>
              </w:rPr>
              <w:t>意见或相应课题审查会意见进行调整、修改完善后提交最终成果，以采购</w:t>
            </w:r>
            <w:r>
              <w:rPr>
                <w:rFonts w:ascii="仿宋_GB2312" w:hAnsi="仿宋_GB2312" w:cs="仿宋_GB2312" w:eastAsia="仿宋_GB2312"/>
                <w:sz w:val="24"/>
              </w:rPr>
              <w:t>方</w:t>
            </w:r>
            <w:r>
              <w:rPr>
                <w:rFonts w:ascii="仿宋_GB2312" w:hAnsi="仿宋_GB2312" w:cs="仿宋_GB2312" w:eastAsia="仿宋_GB2312"/>
                <w:sz w:val="24"/>
              </w:rPr>
              <w:t>审查意见为准</w:t>
            </w:r>
            <w:r>
              <w:rPr>
                <w:rFonts w:ascii="仿宋_GB2312" w:hAnsi="仿宋_GB2312" w:cs="仿宋_GB2312" w:eastAsia="仿宋_GB2312"/>
                <w:sz w:val="24"/>
              </w:rPr>
              <w:t>(提交相应成果的电子版及纸质版文件各一套)。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）质量验收标准或规范</w:t>
            </w:r>
          </w:p>
          <w:p>
            <w:pPr>
              <w:pStyle w:val="null3"/>
              <w:jc w:val="both"/>
            </w:pPr>
            <w:r>
              <w:rPr>
                <w:rFonts w:ascii="仿宋_GB2312" w:hAnsi="仿宋_GB2312" w:cs="仿宋_GB2312" w:eastAsia="仿宋_GB2312"/>
                <w:sz w:val="24"/>
              </w:rPr>
              <w:t>符合现行的资源规划领域法律法规、规章制度。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）违约责任</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服务期间，供应商不得无故终止本合同，否则应当向采购</w:t>
            </w:r>
            <w:r>
              <w:rPr>
                <w:rFonts w:ascii="仿宋_GB2312" w:hAnsi="仿宋_GB2312" w:cs="仿宋_GB2312" w:eastAsia="仿宋_GB2312"/>
                <w:sz w:val="24"/>
              </w:rPr>
              <w:t>方</w:t>
            </w:r>
            <w:r>
              <w:rPr>
                <w:rFonts w:ascii="仿宋_GB2312" w:hAnsi="仿宋_GB2312" w:cs="仿宋_GB2312" w:eastAsia="仿宋_GB2312"/>
                <w:sz w:val="24"/>
              </w:rPr>
              <w:t>支付合同价款的</w:t>
            </w:r>
            <w:r>
              <w:rPr>
                <w:rFonts w:ascii="仿宋_GB2312" w:hAnsi="仿宋_GB2312" w:cs="仿宋_GB2312" w:eastAsia="仿宋_GB2312"/>
                <w:sz w:val="24"/>
              </w:rPr>
              <w:t>30%作为违约金，同时应赔偿采购人因此遭受的所有损失。</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或其员工、代表、代理等所有相关人员，在履行本合同项下义务时，因行为、过失或疏忽造成的任何损失和损害，供应商应承担与其过错相应的责任。</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未按合同要求提供服务或服务质量不能满足合同要求，采购</w:t>
            </w:r>
            <w:r>
              <w:rPr>
                <w:rFonts w:ascii="仿宋_GB2312" w:hAnsi="仿宋_GB2312" w:cs="仿宋_GB2312" w:eastAsia="仿宋_GB2312"/>
                <w:sz w:val="24"/>
              </w:rPr>
              <w:t>方</w:t>
            </w:r>
            <w:r>
              <w:rPr>
                <w:rFonts w:ascii="仿宋_GB2312" w:hAnsi="仿宋_GB2312" w:cs="仿宋_GB2312" w:eastAsia="仿宋_GB2312"/>
                <w:sz w:val="24"/>
              </w:rPr>
              <w:t>应当将供应商违约的情况以及拟采取的措施以书面形式报政府采购监管部门，根据政府采购监管部门的处理意见，</w:t>
            </w:r>
            <w:r>
              <w:rPr>
                <w:rFonts w:ascii="仿宋_GB2312" w:hAnsi="仿宋_GB2312" w:cs="仿宋_GB2312" w:eastAsia="仿宋_GB2312"/>
                <w:sz w:val="24"/>
              </w:rPr>
              <w:t>采购方</w:t>
            </w:r>
            <w:r>
              <w:rPr>
                <w:rFonts w:ascii="仿宋_GB2312" w:hAnsi="仿宋_GB2312" w:cs="仿宋_GB2312" w:eastAsia="仿宋_GB2312"/>
                <w:sz w:val="24"/>
              </w:rPr>
              <w:t>有权依据《民法典》有关条款及合同约定终止合同，并要求</w:t>
            </w:r>
            <w:r>
              <w:rPr>
                <w:rFonts w:ascii="仿宋_GB2312" w:hAnsi="仿宋_GB2312" w:cs="仿宋_GB2312" w:eastAsia="仿宋_GB2312"/>
                <w:sz w:val="24"/>
              </w:rPr>
              <w:t>供应</w:t>
            </w:r>
            <w:r>
              <w:rPr>
                <w:rFonts w:ascii="仿宋_GB2312" w:hAnsi="仿宋_GB2312" w:cs="仿宋_GB2312" w:eastAsia="仿宋_GB2312"/>
                <w:sz w:val="24"/>
              </w:rPr>
              <w:t>商承担违约责任，给采购</w:t>
            </w:r>
            <w:r>
              <w:rPr>
                <w:rFonts w:ascii="仿宋_GB2312" w:hAnsi="仿宋_GB2312" w:cs="仿宋_GB2312" w:eastAsia="仿宋_GB2312"/>
                <w:sz w:val="24"/>
              </w:rPr>
              <w:t>方</w:t>
            </w:r>
            <w:r>
              <w:rPr>
                <w:rFonts w:ascii="仿宋_GB2312" w:hAnsi="仿宋_GB2312" w:cs="仿宋_GB2312" w:eastAsia="仿宋_GB2312"/>
                <w:sz w:val="24"/>
              </w:rPr>
              <w:t>造成损失的，采购</w:t>
            </w:r>
            <w:r>
              <w:rPr>
                <w:rFonts w:ascii="仿宋_GB2312" w:hAnsi="仿宋_GB2312" w:cs="仿宋_GB2312" w:eastAsia="仿宋_GB2312"/>
                <w:sz w:val="24"/>
              </w:rPr>
              <w:t>方</w:t>
            </w:r>
            <w:r>
              <w:rPr>
                <w:rFonts w:ascii="仿宋_GB2312" w:hAnsi="仿宋_GB2312" w:cs="仿宋_GB2312" w:eastAsia="仿宋_GB2312"/>
                <w:sz w:val="24"/>
              </w:rPr>
              <w:t>有权要求其承担违约赔偿责任。同时，政府采购监管部门有权依据《政府采购法》及相关法律法规对供应商的违法行为进行相应的处罚。</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其他未尽事宜，按《民法典》中的相关条款执行。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2026年市级部门预算批复下达后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合同到期完工验收通过后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1.服务期间，供应商不得无故终止本合同，否则应当向采购方支付合同价款的30%作为违约金，同时应赔偿采购人因此遭受的所有损失。 2.供应商或其员工、代表、代理等所有相关人员，在履行本合同项下义务时，因行为、过失或疏忽造成的任何损失和损害，供应商应承担与其过错相应的责任。 3.未按合同要求提供服务或服务质量不能满足合同要求，采购方应当将供应商违约的情况以及拟采取的措施以书面形式报政府采购监管部门，根据政府采购监管部门的处理意见，采购方有权依据《民法典》有关条款及合同约定终止合同，并要求供应商承担违约责任，给采购方造成损失的，采购方有权要求其承担违约赔偿责任。同时，政府采购监管部门有权依据《政府采购法》及相关法律法规对供应商的违法行为进行相应的处罚。 4.其他未尽事宜，按《民法典》中的相关条款执行。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包括资产负债表、利润表、现金流量表、股东权益变动表及报表附注，），成立时间至提交响应文件截止时间不足一年的，可提供成立后任意时段的资产负债表，或开标前六个月内其基本存款账户银行出具的资信证明及开户许可证或基本存款账户信息。(注：2022年10月1日后出具的审计报告应当经过注册会计师行业统一监管平台备案赋码）</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提供2025年1月至实施采购日已缴纳的至少连续一个月的纳税证明(银行缴费凭证)或完税证明，完税证明上应有代收机构或税务机关的公章；依法免税的供应商应提供相关文件证明；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提供2025年1月至实施采购日已缴纳的至少连续一个月的社保缴纳证明材料，依法不需要缴纳的单位应提供相关证明材料；</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供应商履约能力</w:t>
            </w:r>
          </w:p>
        </w:tc>
        <w:tc>
          <w:tcPr>
            <w:tcW w:type="dxa" w:w="3322"/>
          </w:tcPr>
          <w:p>
            <w:pPr>
              <w:pStyle w:val="null3"/>
            </w:pPr>
            <w:r>
              <w:rPr>
                <w:rFonts w:ascii="仿宋_GB2312" w:hAnsi="仿宋_GB2312" w:cs="仿宋_GB2312" w:eastAsia="仿宋_GB2312"/>
              </w:rPr>
              <w:t>供应商具备履行合同所必需的设备和专业技术能力。</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法定代表人直接参加投标的，须出具法定代表人身份证明。授权代表参加投标的，须出具法定代表人授权书，并附法定代表人和被授权人身份证明，及被授权人社保缴纳证明。</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单位负责人为同一人或者存在直接控股、管理关系的不同供应商不得参加统一合同项下的政府采购活动。</w:t>
            </w:r>
          </w:p>
        </w:tc>
        <w:tc>
          <w:tcPr>
            <w:tcW w:type="dxa" w:w="1661"/>
          </w:tcPr>
          <w:p>
            <w:pPr>
              <w:pStyle w:val="null3"/>
            </w:pPr>
            <w:r>
              <w:rPr>
                <w:rFonts w:ascii="仿宋_GB2312" w:hAnsi="仿宋_GB2312" w:cs="仿宋_GB2312" w:eastAsia="仿宋_GB2312"/>
              </w:rPr>
              <w:t>其他证明材料.docx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（1）响应文件的签字、盖章：响应文件上法定代表人或其委托代理人的签字齐全并加盖单位章；响应文件应逐页加盖单位公章，且公章清晰可见； （2）响应文件格式：应符合响应文件要求；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其他证明材料.docx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其他证明材料.docx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（2）拟提供服务响应程度；应满足磋商文件提出的技术和服务要求。不允许技术参数负偏离； （3）服务期限：自合同签订之日起-2026年6月30日； （4）服务地点：以采购方要求为准（5）磋商有效期：应满足磋商文件中的规定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其他证明材料.docx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项目的理解和需求响应</w:t>
            </w:r>
          </w:p>
        </w:tc>
        <w:tc>
          <w:tcPr>
            <w:tcW w:type="dxa" w:w="2492"/>
          </w:tcPr>
          <w:p>
            <w:pPr>
              <w:pStyle w:val="null3"/>
            </w:pPr>
            <w:r>
              <w:rPr>
                <w:rFonts w:ascii="仿宋_GB2312" w:hAnsi="仿宋_GB2312" w:cs="仿宋_GB2312" w:eastAsia="仿宋_GB2312"/>
              </w:rPr>
              <w:t>供应商针对本项目的理解和需求响应，内容包括但不限于①项目建设背景；②建设目标；③建设内容④建设要求等。 以上内容不存在瑕疵计10分； 以上内容存在1处瑕疵计8分； 以上内容存在2处瑕疵计6分； 以上内容存在3处瑕疵计4分； 未提供或存在4处以上瑕疵计0分。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供应商针对本项目提供的设计方案，内容包括但不限于①专业技术支持服务方案②文书、报告、规范制度方案③成果文件编制方案等。以上内容不存在瑕疵计15分； 以上内容存在1处瑕疵计12分； 以上内容存在2处瑕疵计9分； 未提供或存在3处以上瑕疵计0分。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供应商针对本项目提供的质量保证措施，包括但不限于①质量保证体系②质量保障方案③质量目标④进度质量保证等。 以上内容不存在瑕疵计10分； 以上内容存在1处瑕疵计8分； 以上内容存在2处瑕疵计6分； 以上内容存在3处瑕疵计4分； 未提供或存在4处以上瑕疵计0分。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供应商针对本项目提供的进度保证措施，包括但不限于①项目的总体计划安排②各子项任务的衔接③文字及图表的说明④保证工作进度计划措施等。 以上内容不存在瑕疵计10分； 以上内容存在1处瑕疵计8分； 以上内容存在2处瑕疵计6分； 以上内容存在3处瑕疵计4分； 未提供或存在4处以上瑕疵计0分。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供应商针对本项目提供项目保密措施，符合采购人实际需求，包括但不限于①保密管理制度；②具体工作保密措施；③承诺对在本项目执行过程中获悉的有关信息均负有保密责任等。 以上内容不存在瑕疵计10分； 以上内容存在1处瑕疵计8分； 以上内容存在2处瑕疵计6分； 未提供或存在3处以上瑕疵计0分。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供应商针对本项目提供项目服务承诺，符合采购人实际要求，包括但不限于①履约质量承诺；②售后服务承诺；③合规与责任承诺等。 以上内容不存在瑕疵计5分； 以上内容存在1处瑕疵计3分； 以上内容存在2处瑕疵计1分； 未提供或存在3处以上瑕疵计0分。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拟派项目团队配备齐全、结构合理、分工明确。团队成员应由行政法专业领域的专家教授或副教授、资深律师组成，其中每个研究项目投入高级职称专家（或执业 10 年以上律师）不少于 6人、中级职称专家（或执业5年以上的律师）不少于 6 人。在此基础上，每增加 1 个中级职称专家（或执业 5 年以上的律师）及以上专家计 2 分，最多得 10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供应商针对本项目提供项目重点、难点分析及合理化建议，符合采购人实际需求，包括但不限于①重点、难点分析②应对措施③合理化建议等。 以上内容不存在瑕疵计10分； 以上内容存在1处瑕疵计8分； 以上内容存在2处瑕疵计6分； 未提供或存在3处以上瑕疵计0分。 （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供应商2020年1月至今的类似项目服务业绩，每提供1份得2分，最高得10分； 业绩证明（业绩证明材料以加盖公章的合同（协议）或中标（成交）通知书复印件为准）。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投标报价得分=（评审基准价/投标报价）×10 备注：符合招标文件规定的小微企业、监狱企业、残疾人企业优惠条件的投标人，报价给予10%的扣除，用扣除后的价格参与评审。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其他证明材料.docx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