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版本号：OTXA-252001134820251215001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南行政楼装修改造工程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OTXA-2520011348</w:t>
      </w:r>
      <w:r>
        <w:br/>
      </w:r>
      <w:r>
        <w:br/>
      </w:r>
      <w:r>
        <w:br/>
      </w:r>
    </w:p>
    <w:p>
      <w:pPr>
        <w:pStyle w:val="null3"/>
        <w:jc w:val="center"/>
        <w:outlineLvl w:val="2"/>
      </w:pPr>
      <w:r>
        <w:rPr>
          <w:rFonts w:ascii="仿宋_GB2312" w:hAnsi="仿宋_GB2312" w:cs="仿宋_GB2312" w:eastAsia="仿宋_GB2312"/>
          <w:sz w:val="28"/>
          <w:b/>
        </w:rPr>
        <w:t>西安市第五医院</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西安市第五医院</w:t>
      </w:r>
      <w:r>
        <w:rPr>
          <w:rFonts w:ascii="仿宋_GB2312" w:hAnsi="仿宋_GB2312" w:cs="仿宋_GB2312" w:eastAsia="仿宋_GB2312"/>
        </w:rPr>
        <w:t>委托，拟对</w:t>
      </w:r>
      <w:r>
        <w:rPr>
          <w:rFonts w:ascii="仿宋_GB2312" w:hAnsi="仿宋_GB2312" w:cs="仿宋_GB2312" w:eastAsia="仿宋_GB2312"/>
        </w:rPr>
        <w:t>南行政楼装修改造工程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OTXA-2520011348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南行政楼装修改造工程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五医院南行政楼装修改造工程，包含对医院南行政楼外立面拆除、四层屋顶拆除、整体加固、室内装修改造新增喷淋系统、卫生间，并和新建住院楼连接等相关内容，按照设计施工图纸完成项目并进行空气质量检测，甲方验收合格可直接使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采购包1（南行政楼装修改造工程）：属于专门面向中小企业采购。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具备《中华人民共和国政府采购法》第二十二条规定的条件；：1、供应商合法注册的法人或其他组织的营业执照等证明文件，自然人的身份证明；2、财务状况报告（须提供供应商2024年具有财务审计资质单位出具的完整财务报告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 3、有依法缴纳税收和社会保障资金的良好记录，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 4、具备履行合同所必需的设备和专业技术能力的证明材料（提供承诺书）； 5、参加政府采购活动前三年内，在经营活动中没有重大违法记录（提供参加政府采购活动前三年内，在经营活动中没有重大违法记录承诺书）；6法定代表人授权书:非法定代表人参加投标的，须提供法定代表人委托授权书、被授权人身份证及被授权人近12个月内至少连续3个月社保缴纳证明，法定代表人参加投标时,只需提供法定代表人身份证;</w:t>
      </w:r>
    </w:p>
    <w:p>
      <w:pPr>
        <w:pStyle w:val="null3"/>
      </w:pPr>
      <w:r>
        <w:rPr>
          <w:rFonts w:ascii="仿宋_GB2312" w:hAnsi="仿宋_GB2312" w:cs="仿宋_GB2312" w:eastAsia="仿宋_GB2312"/>
        </w:rPr>
        <w:t>2、提供声明函；：单位负责人为同一人或者存在直接控股、管理关系的不同供应商不得参加同一合同项下的政府采购活动；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3、提供承诺书（格式自拟）；：承诺声明投标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pPr>
        <w:pStyle w:val="null3"/>
      </w:pPr>
      <w:r>
        <w:rPr>
          <w:rFonts w:ascii="仿宋_GB2312" w:hAnsi="仿宋_GB2312" w:cs="仿宋_GB2312" w:eastAsia="仿宋_GB2312"/>
        </w:rPr>
        <w:t>4、特定资格：供应商须具备建筑装饰装修专业承包资质二级及以上资质，并取得有效的安全生产许可证。</w:t>
      </w:r>
    </w:p>
    <w:p>
      <w:pPr>
        <w:pStyle w:val="null3"/>
      </w:pPr>
      <w:r>
        <w:rPr>
          <w:rFonts w:ascii="仿宋_GB2312" w:hAnsi="仿宋_GB2312" w:cs="仿宋_GB2312" w:eastAsia="仿宋_GB2312"/>
        </w:rPr>
        <w:t>5、拟派项目负责人：供应商拟派项目负责人须具备建筑工程建造师二级及以上资质，同时提供行政主管部门颁发的具有安全生产考核合格证书B类证书，且无在建项目（附承诺）。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西安市第五医院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西安市第五医院经办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88621331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张秘、陈灏、方丽娜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029-89585685-810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采购包1：3,496,548.65元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代理服务费收费标准：招标代理服务费的金额以中标（成交）价为基准参照国家发展计划委员会计价格[2002]1980号文件的规定标准下浮20%计算。成交金额50万（不包含）以下的项目不下浮。</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踏勘时间：2025-12-23 09:30:00</w:t>
            </w:r>
          </w:p>
          <w:p>
            <w:pPr>
              <w:pStyle w:val="null3"/>
              <w:ind w:firstLine="975"/>
            </w:pPr>
            <w:r>
              <w:rPr>
                <w:rFonts w:ascii="仿宋_GB2312" w:hAnsi="仿宋_GB2312" w:cs="仿宋_GB2312" w:eastAsia="仿宋_GB2312"/>
              </w:rPr>
              <w:t>踏勘地点：西安市第五医院行政楼二楼招标办</w:t>
            </w:r>
          </w:p>
          <w:p>
            <w:pPr>
              <w:pStyle w:val="null3"/>
              <w:ind w:firstLine="975"/>
            </w:pPr>
            <w:r>
              <w:rPr>
                <w:rFonts w:ascii="仿宋_GB2312" w:hAnsi="仿宋_GB2312" w:cs="仿宋_GB2312" w:eastAsia="仿宋_GB2312"/>
              </w:rPr>
              <w:t>联系人：张秘</w:t>
            </w:r>
          </w:p>
          <w:p>
            <w:pPr>
              <w:pStyle w:val="null3"/>
              <w:ind w:firstLine="975"/>
            </w:pPr>
            <w:r>
              <w:rPr>
                <w:rFonts w:ascii="仿宋_GB2312" w:hAnsi="仿宋_GB2312" w:cs="仿宋_GB2312" w:eastAsia="仿宋_GB2312"/>
              </w:rPr>
              <w:t>联系电话号码：029-89585685-810</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西安市第五医院</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西安市第五医院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西安市第五医院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联系人：张秘、陈灏、方丽娜</w:t>
      </w:r>
    </w:p>
    <w:p>
      <w:pPr>
        <w:pStyle w:val="null3"/>
      </w:pPr>
      <w:r>
        <w:rPr>
          <w:rFonts w:ascii="仿宋_GB2312" w:hAnsi="仿宋_GB2312" w:cs="仿宋_GB2312" w:eastAsia="仿宋_GB2312"/>
        </w:rPr>
        <w:t>联系电话：029-89585685-810</w:t>
      </w:r>
    </w:p>
    <w:p>
      <w:pPr>
        <w:pStyle w:val="null3"/>
      </w:pPr>
      <w:r>
        <w:rPr>
          <w:rFonts w:ascii="仿宋_GB2312" w:hAnsi="仿宋_GB2312" w:cs="仿宋_GB2312" w:eastAsia="仿宋_GB2312"/>
        </w:rPr>
        <w:t>地址：西安市雁塔区太白南路181号西部电子社区A座A区208-1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3,496,548.65</w:t>
      </w:r>
    </w:p>
    <w:p>
      <w:pPr>
        <w:pStyle w:val="null3"/>
      </w:pPr>
      <w:r>
        <w:rPr>
          <w:rFonts w:ascii="仿宋_GB2312" w:hAnsi="仿宋_GB2312" w:cs="仿宋_GB2312" w:eastAsia="仿宋_GB2312"/>
        </w:rPr>
        <w:t>采购包最高限价（元）: 3,496,548.65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南行政楼装修改造工程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3,496,548.65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标的名称：南行政楼装修改造工程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西安市第五医院南行政楼装修改造工程，包含对医院南行政楼外立面拆除、四层屋顶拆除、整体加固、室内装修改造新增喷淋系统、卫生间，并和新建住院楼连接等相关内容，按照设计施工图纸完成项目并进行空气质量检测，甲方验收合格可直接使用。</w:t>
            </w:r>
          </w:p>
          <w:p>
            <w:pPr>
              <w:pStyle w:val="null3"/>
              <w:jc w:val="both"/>
            </w:pPr>
            <w:r>
              <w:rPr>
                <w:rFonts w:ascii="仿宋_GB2312" w:hAnsi="仿宋_GB2312" w:cs="仿宋_GB2312" w:eastAsia="仿宋_GB2312"/>
                <w:sz w:val="20"/>
              </w:rPr>
              <w:t>二、工程内容和施工地点、计划工期、缺陷责任期、质量保修期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工程内容</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四楼拆除原始简易钢构新增钢结构。</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整楼加固，一楼增加框架梁</w:t>
            </w:r>
            <w:r>
              <w:rPr>
                <w:rFonts w:ascii="仿宋_GB2312" w:hAnsi="仿宋_GB2312" w:cs="仿宋_GB2312" w:eastAsia="仿宋_GB2312"/>
                <w:sz w:val="20"/>
              </w:rPr>
              <w:t>2</w:t>
            </w:r>
            <w:r>
              <w:rPr>
                <w:rFonts w:ascii="仿宋_GB2312" w:hAnsi="仿宋_GB2312" w:cs="仿宋_GB2312" w:eastAsia="仿宋_GB2312"/>
                <w:sz w:val="20"/>
              </w:rPr>
              <w:t>到</w:t>
            </w:r>
            <w:r>
              <w:rPr>
                <w:rFonts w:ascii="仿宋_GB2312" w:hAnsi="仿宋_GB2312" w:cs="仿宋_GB2312" w:eastAsia="仿宋_GB2312"/>
                <w:sz w:val="20"/>
              </w:rPr>
              <w:t>3</w:t>
            </w:r>
            <w:r>
              <w:rPr>
                <w:rFonts w:ascii="仿宋_GB2312" w:hAnsi="仿宋_GB2312" w:cs="仿宋_GB2312" w:eastAsia="仿宋_GB2312"/>
                <w:sz w:val="20"/>
              </w:rPr>
              <w:t>楼增加</w:t>
            </w:r>
            <w:r>
              <w:rPr>
                <w:rFonts w:ascii="仿宋_GB2312" w:hAnsi="仿宋_GB2312" w:cs="仿宋_GB2312" w:eastAsia="仿宋_GB2312"/>
                <w:sz w:val="20"/>
              </w:rPr>
              <w:t>12</w:t>
            </w:r>
            <w:r>
              <w:rPr>
                <w:rFonts w:ascii="仿宋_GB2312" w:hAnsi="仿宋_GB2312" w:cs="仿宋_GB2312" w:eastAsia="仿宋_GB2312"/>
                <w:sz w:val="20"/>
              </w:rPr>
              <w:t>组抗震阻尼器。</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外墙喷涂真石漆新增窗户</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北侧与新建楼梯衔接部分外墙拆除，原始楼梯间补平楼板</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拆除原有结构改造部分中卫生间及东西向走廊墙体，拆除房间内所有开关插座电源及吊扇，拆除所有木门。</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整楼除一楼</w:t>
            </w:r>
            <w:r>
              <w:rPr>
                <w:rFonts w:ascii="仿宋_GB2312" w:hAnsi="仿宋_GB2312" w:cs="仿宋_GB2312" w:eastAsia="仿宋_GB2312"/>
                <w:sz w:val="20"/>
              </w:rPr>
              <w:t>prc</w:t>
            </w:r>
            <w:r>
              <w:rPr>
                <w:rFonts w:ascii="仿宋_GB2312" w:hAnsi="仿宋_GB2312" w:cs="仿宋_GB2312" w:eastAsia="仿宋_GB2312"/>
                <w:sz w:val="20"/>
              </w:rPr>
              <w:t>实验室外全部改造成单独带有卫生间功能的</w:t>
            </w:r>
            <w:r>
              <w:rPr>
                <w:rFonts w:ascii="仿宋_GB2312" w:hAnsi="仿宋_GB2312" w:cs="仿宋_GB2312" w:eastAsia="仿宋_GB2312"/>
                <w:sz w:val="20"/>
              </w:rPr>
              <w:t>业务用房</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新增消防喷淋系统与新建楼对接形成整体系统。</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原始暖气系统利旧改造室外供回水部分</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给排水新增卫生间部分下水与新建部分对接共用主排水管道排到室外</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暖通新增单独房间内挂机空调</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电气部分新增灯具开关及插座及电热水器，所有电路分层控制，电箱汇聚到新建建筑电井统一并电入网</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施工完成后应进行空气质量检测，检测内容包括氡、甲醛、氨、苯、甲苯、二甲苯和其他挥发性有机化合物。检测抽检量不得少于房间总数的</w:t>
            </w:r>
            <w:r>
              <w:rPr>
                <w:rFonts w:ascii="仿宋_GB2312" w:hAnsi="仿宋_GB2312" w:cs="仿宋_GB2312" w:eastAsia="仿宋_GB2312"/>
                <w:sz w:val="20"/>
              </w:rPr>
              <w:t>50%,</w:t>
            </w:r>
            <w:r>
              <w:rPr>
                <w:rFonts w:ascii="仿宋_GB2312" w:hAnsi="仿宋_GB2312" w:cs="仿宋_GB2312" w:eastAsia="仿宋_GB2312"/>
                <w:sz w:val="20"/>
              </w:rPr>
              <w:t>当房间总数少于</w:t>
            </w:r>
            <w:r>
              <w:rPr>
                <w:rFonts w:ascii="仿宋_GB2312" w:hAnsi="仿宋_GB2312" w:cs="仿宋_GB2312" w:eastAsia="仿宋_GB2312"/>
                <w:sz w:val="20"/>
              </w:rPr>
              <w:t>3</w:t>
            </w:r>
            <w:r>
              <w:rPr>
                <w:rFonts w:ascii="仿宋_GB2312" w:hAnsi="仿宋_GB2312" w:cs="仿宋_GB2312" w:eastAsia="仿宋_GB2312"/>
                <w:sz w:val="20"/>
              </w:rPr>
              <w:t>间时，应全数检测。检测报告</w:t>
            </w:r>
            <w:r>
              <w:rPr>
                <w:rFonts w:ascii="仿宋_GB2312" w:hAnsi="仿宋_GB2312" w:cs="仿宋_GB2312" w:eastAsia="仿宋_GB2312"/>
                <w:sz w:val="20"/>
              </w:rPr>
              <w:t>应</w:t>
            </w:r>
            <w:r>
              <w:rPr>
                <w:rFonts w:ascii="仿宋_GB2312" w:hAnsi="仿宋_GB2312" w:cs="仿宋_GB2312" w:eastAsia="仿宋_GB2312"/>
                <w:sz w:val="20"/>
              </w:rPr>
              <w:t>由第三方检测机构出具，检测结果符合国家规定方可验收。</w:t>
            </w:r>
          </w:p>
          <w:p>
            <w:pPr>
              <w:pStyle w:val="null3"/>
              <w:jc w:val="both"/>
            </w:pPr>
            <w:r>
              <w:rPr>
                <w:rFonts w:ascii="仿宋_GB2312" w:hAnsi="仿宋_GB2312" w:cs="仿宋_GB2312" w:eastAsia="仿宋_GB2312"/>
                <w:sz w:val="20"/>
              </w:rPr>
              <w:t>（二）工程要求：专业工程及设备规格尺寸应严格按照施工图纸进行。</w:t>
            </w:r>
          </w:p>
          <w:p>
            <w:pPr>
              <w:pStyle w:val="null3"/>
              <w:jc w:val="both"/>
            </w:pPr>
            <w:r>
              <w:rPr>
                <w:rFonts w:ascii="仿宋_GB2312" w:hAnsi="仿宋_GB2312" w:cs="仿宋_GB2312" w:eastAsia="仿宋_GB2312"/>
                <w:sz w:val="20"/>
              </w:rPr>
              <w:t>（三）工程地点：西安市西关正街西安市第五医院院内。</w:t>
            </w:r>
          </w:p>
          <w:p>
            <w:pPr>
              <w:pStyle w:val="null3"/>
              <w:jc w:val="both"/>
            </w:pPr>
            <w:r>
              <w:rPr>
                <w:rFonts w:ascii="仿宋_GB2312" w:hAnsi="仿宋_GB2312" w:cs="仿宋_GB2312" w:eastAsia="仿宋_GB2312"/>
                <w:sz w:val="20"/>
              </w:rPr>
              <w:t>（四）计划工期：自进场之日起</w:t>
            </w:r>
            <w:r>
              <w:rPr>
                <w:rFonts w:ascii="仿宋_GB2312" w:hAnsi="仿宋_GB2312" w:cs="仿宋_GB2312" w:eastAsia="仿宋_GB2312"/>
                <w:sz w:val="20"/>
              </w:rPr>
              <w:t>90</w:t>
            </w:r>
            <w:r>
              <w:rPr>
                <w:rFonts w:ascii="仿宋_GB2312" w:hAnsi="仿宋_GB2312" w:cs="仿宋_GB2312" w:eastAsia="仿宋_GB2312"/>
                <w:sz w:val="20"/>
              </w:rPr>
              <w:t>个日历日内竣工。</w:t>
            </w:r>
          </w:p>
          <w:p>
            <w:pPr>
              <w:pStyle w:val="null3"/>
              <w:spacing w:after="120"/>
              <w:ind w:firstLine="600"/>
              <w:jc w:val="both"/>
            </w:pPr>
            <w:r>
              <w:rPr>
                <w:rFonts w:ascii="仿宋_GB2312" w:hAnsi="仿宋_GB2312" w:cs="仿宋_GB2312" w:eastAsia="仿宋_GB2312"/>
                <w:sz w:val="20"/>
              </w:rPr>
              <w:t>开工日期：以甲方的开工报告时间为准，工期不变，完成全部项目施工并交付甲方使用，每推迟</w:t>
            </w:r>
            <w:r>
              <w:rPr>
                <w:rFonts w:ascii="仿宋_GB2312" w:hAnsi="仿宋_GB2312" w:cs="仿宋_GB2312" w:eastAsia="仿宋_GB2312"/>
                <w:sz w:val="20"/>
              </w:rPr>
              <w:t>1</w:t>
            </w:r>
            <w:r>
              <w:rPr>
                <w:rFonts w:ascii="仿宋_GB2312" w:hAnsi="仿宋_GB2312" w:cs="仿宋_GB2312" w:eastAsia="仿宋_GB2312"/>
                <w:sz w:val="20"/>
              </w:rPr>
              <w:t>天扣合同总价的</w:t>
            </w:r>
            <w:r>
              <w:rPr>
                <w:rFonts w:ascii="仿宋_GB2312" w:hAnsi="仿宋_GB2312" w:cs="仿宋_GB2312" w:eastAsia="仿宋_GB2312"/>
                <w:sz w:val="20"/>
              </w:rPr>
              <w:t>3</w:t>
            </w:r>
            <w:r>
              <w:rPr>
                <w:rFonts w:ascii="仿宋_GB2312" w:hAnsi="仿宋_GB2312" w:cs="仿宋_GB2312" w:eastAsia="仿宋_GB2312"/>
                <w:sz w:val="20"/>
              </w:rPr>
              <w:t>‰，累计超过</w:t>
            </w:r>
            <w:r>
              <w:rPr>
                <w:rFonts w:ascii="仿宋_GB2312" w:hAnsi="仿宋_GB2312" w:cs="仿宋_GB2312" w:eastAsia="仿宋_GB2312"/>
                <w:sz w:val="20"/>
              </w:rPr>
              <w:t>30</w:t>
            </w:r>
            <w:r>
              <w:rPr>
                <w:rFonts w:ascii="仿宋_GB2312" w:hAnsi="仿宋_GB2312" w:cs="仿宋_GB2312" w:eastAsia="仿宋_GB2312"/>
                <w:sz w:val="20"/>
              </w:rPr>
              <w:t>天的，视为乙方违约，甲方有权单方解除合同（合同自书面解除通知送达乙方之日起解除），乙方应赔偿解除合同给甲方造成的全部损失（包括但不限于重新采购产生的费用、合同未履行导致工程不能按规划交付使用可能产生的租赁费用），还应按合同总价款的</w:t>
            </w:r>
            <w:r>
              <w:rPr>
                <w:rFonts w:ascii="仿宋_GB2312" w:hAnsi="仿宋_GB2312" w:cs="仿宋_GB2312" w:eastAsia="仿宋_GB2312"/>
                <w:sz w:val="20"/>
              </w:rPr>
              <w:t>30%</w:t>
            </w:r>
            <w:r>
              <w:rPr>
                <w:rFonts w:ascii="仿宋_GB2312" w:hAnsi="仿宋_GB2312" w:cs="仿宋_GB2312" w:eastAsia="仿宋_GB2312"/>
                <w:sz w:val="20"/>
              </w:rPr>
              <w:t>支付违约金。</w:t>
            </w:r>
          </w:p>
          <w:p>
            <w:pPr>
              <w:pStyle w:val="null3"/>
              <w:jc w:val="both"/>
            </w:pPr>
            <w:r>
              <w:rPr>
                <w:rFonts w:ascii="仿宋_GB2312" w:hAnsi="仿宋_GB2312" w:cs="仿宋_GB2312" w:eastAsia="仿宋_GB2312"/>
                <w:sz w:val="20"/>
              </w:rPr>
              <w:t>（五）缺陷责任期：</w:t>
            </w:r>
            <w:r>
              <w:rPr>
                <w:rFonts w:ascii="仿宋_GB2312" w:hAnsi="仿宋_GB2312" w:cs="仿宋_GB2312" w:eastAsia="仿宋_GB2312"/>
                <w:sz w:val="20"/>
              </w:rPr>
              <w:t>防水部分缺陷</w:t>
            </w:r>
            <w:r>
              <w:rPr>
                <w:rFonts w:ascii="仿宋_GB2312" w:hAnsi="仿宋_GB2312" w:cs="仿宋_GB2312" w:eastAsia="仿宋_GB2312"/>
                <w:sz w:val="20"/>
              </w:rPr>
              <w:t>责任期为五年</w:t>
            </w:r>
            <w:r>
              <w:rPr>
                <w:rFonts w:ascii="仿宋_GB2312" w:hAnsi="仿宋_GB2312" w:cs="仿宋_GB2312" w:eastAsia="仿宋_GB2312"/>
                <w:sz w:val="20"/>
              </w:rPr>
              <w:t>，其余为两年</w:t>
            </w:r>
            <w:r>
              <w:rPr>
                <w:rFonts w:ascii="仿宋_GB2312" w:hAnsi="仿宋_GB2312" w:cs="仿宋_GB2312" w:eastAsia="仿宋_GB2312"/>
                <w:sz w:val="20"/>
              </w:rPr>
              <w:t>，缺陷责任期自工程通过竣工验收之日起计算。由于承包方原因导致工程无法按规定期限进行竣（交）工验收的，缺陷责任期从实际通过竣（交）工验收之日起计。</w:t>
            </w:r>
          </w:p>
          <w:p>
            <w:pPr>
              <w:pStyle w:val="null3"/>
              <w:jc w:val="both"/>
            </w:pPr>
            <w:r>
              <w:rPr>
                <w:rFonts w:ascii="仿宋_GB2312" w:hAnsi="仿宋_GB2312" w:cs="仿宋_GB2312" w:eastAsia="仿宋_GB2312"/>
                <w:sz w:val="20"/>
              </w:rPr>
              <w:t>（六）质量保修期：按《建设工程质量管理条例》》第三十二条规定：乙方对施工中出现质量问题的建设工程或者竣工验收不合格的建设工程，应当负责返修且工期不顺延，由此产生的费用及造成的损失，乙方自行承担。</w:t>
            </w:r>
          </w:p>
          <w:p>
            <w:pPr>
              <w:pStyle w:val="null3"/>
              <w:jc w:val="both"/>
            </w:pPr>
            <w:r>
              <w:rPr>
                <w:rFonts w:ascii="仿宋_GB2312" w:hAnsi="仿宋_GB2312" w:cs="仿宋_GB2312" w:eastAsia="仿宋_GB2312"/>
                <w:sz w:val="20"/>
              </w:rPr>
              <w:t>自验收合格之日起五年</w:t>
            </w:r>
            <w:r>
              <w:rPr>
                <w:rFonts w:ascii="仿宋_GB2312" w:hAnsi="仿宋_GB2312" w:cs="仿宋_GB2312" w:eastAsia="仿宋_GB2312"/>
                <w:sz w:val="20"/>
              </w:rPr>
              <w:t>，根据成交单位响应文件，合同未约定质保事项以《房屋建筑工程质量保修办法》为准。</w:t>
            </w:r>
          </w:p>
          <w:p>
            <w:pPr>
              <w:pStyle w:val="null3"/>
              <w:jc w:val="both"/>
            </w:pPr>
            <w:r>
              <w:rPr>
                <w:rFonts w:ascii="仿宋_GB2312" w:hAnsi="仿宋_GB2312" w:cs="仿宋_GB2312" w:eastAsia="仿宋_GB2312"/>
                <w:sz w:val="20"/>
              </w:rPr>
              <w:t>三、工程量清单和计价依据</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、见工程量清单。</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、最高限价</w:t>
            </w:r>
            <w:r>
              <w:rPr>
                <w:rFonts w:ascii="仿宋_GB2312" w:hAnsi="仿宋_GB2312" w:cs="仿宋_GB2312" w:eastAsia="仿宋_GB2312"/>
                <w:sz w:val="20"/>
              </w:rPr>
              <w:t>3496548.65</w:t>
            </w:r>
            <w:r>
              <w:rPr>
                <w:rFonts w:ascii="仿宋_GB2312" w:hAnsi="仿宋_GB2312" w:cs="仿宋_GB2312" w:eastAsia="仿宋_GB2312"/>
                <w:sz w:val="20"/>
              </w:rPr>
              <w:t>元（含税、含拆除、含垃圾清运）。</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、计价依据《陕西省建设工程工程量清单计价标准及计算标准》（</w:t>
            </w:r>
            <w:r>
              <w:rPr>
                <w:rFonts w:ascii="仿宋_GB2312" w:hAnsi="仿宋_GB2312" w:cs="仿宋_GB2312" w:eastAsia="仿宋_GB2312"/>
                <w:sz w:val="20"/>
              </w:rPr>
              <w:t>2025</w:t>
            </w:r>
            <w:r>
              <w:rPr>
                <w:rFonts w:ascii="仿宋_GB2312" w:hAnsi="仿宋_GB2312" w:cs="仿宋_GB2312" w:eastAsia="仿宋_GB2312"/>
                <w:sz w:val="20"/>
              </w:rPr>
              <w:t>）、《陕西省房屋建筑与装饰及通用安装工程基价表》（</w:t>
            </w:r>
            <w:r>
              <w:rPr>
                <w:rFonts w:ascii="仿宋_GB2312" w:hAnsi="仿宋_GB2312" w:cs="仿宋_GB2312" w:eastAsia="仿宋_GB2312"/>
                <w:sz w:val="20"/>
              </w:rPr>
              <w:t>2025</w:t>
            </w:r>
            <w:r>
              <w:rPr>
                <w:rFonts w:ascii="仿宋_GB2312" w:hAnsi="仿宋_GB2312" w:cs="仿宋_GB2312" w:eastAsia="仿宋_GB2312"/>
                <w:sz w:val="20"/>
              </w:rPr>
              <w:t>）、《陕西省房屋建筑与装饰及通用安装工程消耗量定额》（</w:t>
            </w:r>
            <w:r>
              <w:rPr>
                <w:rFonts w:ascii="仿宋_GB2312" w:hAnsi="仿宋_GB2312" w:cs="仿宋_GB2312" w:eastAsia="仿宋_GB2312"/>
                <w:sz w:val="20"/>
              </w:rPr>
              <w:t>2025</w:t>
            </w:r>
            <w:r>
              <w:rPr>
                <w:rFonts w:ascii="仿宋_GB2312" w:hAnsi="仿宋_GB2312" w:cs="仿宋_GB2312" w:eastAsia="仿宋_GB2312"/>
                <w:sz w:val="20"/>
              </w:rPr>
              <w:t>）及《陕西省建设工程费用规则》（</w:t>
            </w:r>
            <w:r>
              <w:rPr>
                <w:rFonts w:ascii="仿宋_GB2312" w:hAnsi="仿宋_GB2312" w:cs="仿宋_GB2312" w:eastAsia="仿宋_GB2312"/>
                <w:sz w:val="20"/>
              </w:rPr>
              <w:t>2025</w:t>
            </w:r>
            <w:r>
              <w:rPr>
                <w:rFonts w:ascii="仿宋_GB2312" w:hAnsi="仿宋_GB2312" w:cs="仿宋_GB2312" w:eastAsia="仿宋_GB2312"/>
                <w:sz w:val="20"/>
              </w:rPr>
              <w:t>）等相关文件。</w:t>
            </w:r>
          </w:p>
          <w:p>
            <w:pPr>
              <w:pStyle w:val="null3"/>
              <w:jc w:val="both"/>
            </w:pPr>
            <w:r>
              <w:rPr>
                <w:rFonts w:ascii="仿宋_GB2312" w:hAnsi="仿宋_GB2312" w:cs="仿宋_GB2312" w:eastAsia="仿宋_GB2312"/>
                <w:sz w:val="20"/>
              </w:rPr>
              <w:t>四、施工要求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、在施工期间，中标供应商必须注意院内外人员安全，加强安全措施，并对施工人员进行安全教育。施工人员必须持证上岗。因甲方工作的特殊性，要求乙方在施工中做到封闭性施工。</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、材料进场后，须经建设方、监理方验收合格后方可施工。</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、隐蔽工程在隐蔽前须进行分项验收，验收合格后成交供应商留存相关照片及资料。</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材料</w:t>
            </w:r>
            <w:r>
              <w:rPr>
                <w:rFonts w:ascii="仿宋_GB2312" w:hAnsi="仿宋_GB2312" w:cs="仿宋_GB2312" w:eastAsia="仿宋_GB2312"/>
                <w:sz w:val="20"/>
              </w:rPr>
              <w:t>要求：供应商投标时须提供市场上中等及以上档次材料（附详细分项报价表，表中含名称、规格型号、品牌、数量、产地、单价等），并经采购人认可方可施工。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）工程所有材料质量必须符合国家标准和行业标准，并具有合格证或检验证；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中标供应商所有进场材料须提供环保检测等相关证明文件，无法提供相关证明资料的可自行委托具备检测资质的第三方单位进行环保检测，产品检测不合格的，采购人有权要求中标供应商进行限期整改并报复检，检测及复检费用由中标供应商承担，进场材料检测合格经建设方、监理方验收后方可投入使用。</w:t>
            </w:r>
          </w:p>
          <w:p>
            <w:pPr>
              <w:pStyle w:val="null3"/>
              <w:jc w:val="both"/>
            </w:pPr>
            <w:r>
              <w:rPr>
                <w:rFonts w:ascii="仿宋_GB2312" w:hAnsi="仿宋_GB2312" w:cs="仿宋_GB2312" w:eastAsia="仿宋_GB2312"/>
                <w:sz w:val="20"/>
              </w:rPr>
              <w:t>五、安全责任</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、在施工期间，中标供应商必须注意院内人员安全，加强安全防护及警示措施，遵循国家有关安全生产的法规和甲方有关安全规章制度，办理工作人员出入证，并接受建设方和监理方正当、合理的监督检查。</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、中标供应商须按照有关规定对施工人员进行安全教育并配备足够的安全员和安全保护措施，施工人员必须持证上岗。</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、中标供应商应按照设备规范操作，严把质量关，文明工作。</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、中标供应商需确保该项工程实施的可行性。</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、项目实施过程中，所造成的一切财产损失及人身意外，一切均由中标供应商负责。</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、为确保医院正常有序运转及采购人工作的特殊性，要求中标供应商在施工中做到封闭性施工，一切施工垃圾中标供应商应及时清运出现场，保障现场整洁性。</w:t>
            </w:r>
          </w:p>
          <w:p>
            <w:pPr>
              <w:pStyle w:val="null3"/>
              <w:jc w:val="both"/>
            </w:pPr>
            <w:r>
              <w:rPr>
                <w:rFonts w:ascii="仿宋_GB2312" w:hAnsi="仿宋_GB2312" w:cs="仿宋_GB2312" w:eastAsia="仿宋_GB2312"/>
                <w:sz w:val="20"/>
              </w:rPr>
              <w:t>六、商务要求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、支付方式：银行转账</w:t>
            </w:r>
          </w:p>
          <w:p>
            <w:pPr>
              <w:pStyle w:val="null3"/>
              <w:jc w:val="both"/>
            </w:pPr>
            <w:r>
              <w:rPr>
                <w:rFonts w:ascii="仿宋_GB2312" w:hAnsi="仿宋_GB2312" w:cs="仿宋_GB2312" w:eastAsia="仿宋_GB2312"/>
                <w:sz w:val="20"/>
              </w:rPr>
              <w:t>本项目无预付款。</w:t>
            </w:r>
          </w:p>
          <w:p>
            <w:pPr>
              <w:pStyle w:val="null3"/>
              <w:jc w:val="both"/>
            </w:pPr>
            <w:r>
              <w:rPr>
                <w:rFonts w:ascii="仿宋_GB2312" w:hAnsi="仿宋_GB2312" w:cs="仿宋_GB2312" w:eastAsia="仿宋_GB2312"/>
                <w:sz w:val="20"/>
              </w:rPr>
              <w:t>第一次付款：拆除工程、新建楼板墙体工程、新建钢结构、加固工程，电气工程、弱电工程、消防工程、给排水工程完成，经甲方及监理方验收合格后，收到发票之日起后</w:t>
            </w:r>
            <w:r>
              <w:rPr>
                <w:rFonts w:ascii="仿宋_GB2312" w:hAnsi="仿宋_GB2312" w:cs="仿宋_GB2312" w:eastAsia="仿宋_GB2312"/>
                <w:sz w:val="20"/>
              </w:rPr>
              <w:t>10</w:t>
            </w:r>
            <w:r>
              <w:rPr>
                <w:rFonts w:ascii="仿宋_GB2312" w:hAnsi="仿宋_GB2312" w:cs="仿宋_GB2312" w:eastAsia="仿宋_GB2312"/>
                <w:sz w:val="20"/>
              </w:rPr>
              <w:t>个工作日内，支付至合同总价款的</w:t>
            </w:r>
            <w:r>
              <w:rPr>
                <w:rFonts w:ascii="仿宋_GB2312" w:hAnsi="仿宋_GB2312" w:cs="仿宋_GB2312" w:eastAsia="仿宋_GB2312"/>
                <w:sz w:val="20"/>
              </w:rPr>
              <w:t>30%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第二次付款：、装饰工程完成，经甲方及监理方验收合格后，收到发票之日起后</w:t>
            </w:r>
            <w:r>
              <w:rPr>
                <w:rFonts w:ascii="仿宋_GB2312" w:hAnsi="仿宋_GB2312" w:cs="仿宋_GB2312" w:eastAsia="仿宋_GB2312"/>
                <w:sz w:val="20"/>
              </w:rPr>
              <w:t>10</w:t>
            </w:r>
            <w:r>
              <w:rPr>
                <w:rFonts w:ascii="仿宋_GB2312" w:hAnsi="仿宋_GB2312" w:cs="仿宋_GB2312" w:eastAsia="仿宋_GB2312"/>
                <w:sz w:val="20"/>
              </w:rPr>
              <w:t>个工作日内，支付至合同总价款的</w:t>
            </w:r>
            <w:r>
              <w:rPr>
                <w:rFonts w:ascii="仿宋_GB2312" w:hAnsi="仿宋_GB2312" w:cs="仿宋_GB2312" w:eastAsia="仿宋_GB2312"/>
                <w:sz w:val="20"/>
              </w:rPr>
              <w:t>70%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第三次付款：乙方报送整体竣工资料，配合甲方完成结算审计后，收到发票之日起后</w:t>
            </w:r>
            <w:r>
              <w:rPr>
                <w:rFonts w:ascii="仿宋_GB2312" w:hAnsi="仿宋_GB2312" w:cs="仿宋_GB2312" w:eastAsia="仿宋_GB2312"/>
                <w:sz w:val="20"/>
              </w:rPr>
              <w:t>10</w:t>
            </w:r>
            <w:r>
              <w:rPr>
                <w:rFonts w:ascii="仿宋_GB2312" w:hAnsi="仿宋_GB2312" w:cs="仿宋_GB2312" w:eastAsia="仿宋_GB2312"/>
                <w:sz w:val="20"/>
              </w:rPr>
              <w:t>个工作日内，甲方向乙方支付至审计后总款项的</w:t>
            </w:r>
            <w:r>
              <w:rPr>
                <w:rFonts w:ascii="仿宋_GB2312" w:hAnsi="仿宋_GB2312" w:cs="仿宋_GB2312" w:eastAsia="仿宋_GB2312"/>
                <w:sz w:val="20"/>
              </w:rPr>
              <w:t>97%</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第四次付款：留审计后总款项的</w:t>
            </w:r>
            <w:r>
              <w:rPr>
                <w:rFonts w:ascii="仿宋_GB2312" w:hAnsi="仿宋_GB2312" w:cs="仿宋_GB2312" w:eastAsia="仿宋_GB2312"/>
                <w:sz w:val="20"/>
              </w:rPr>
              <w:t>3%</w:t>
            </w:r>
            <w:r>
              <w:rPr>
                <w:rFonts w:ascii="仿宋_GB2312" w:hAnsi="仿宋_GB2312" w:cs="仿宋_GB2312" w:eastAsia="仿宋_GB2312"/>
                <w:sz w:val="20"/>
              </w:rPr>
              <w:t>，竣工验收之日起满五年后，如无工程质量问题，收到发票之日起后</w:t>
            </w:r>
            <w:r>
              <w:rPr>
                <w:rFonts w:ascii="仿宋_GB2312" w:hAnsi="仿宋_GB2312" w:cs="仿宋_GB2312" w:eastAsia="仿宋_GB2312"/>
                <w:sz w:val="20"/>
              </w:rPr>
              <w:t>10</w:t>
            </w:r>
            <w:r>
              <w:rPr>
                <w:rFonts w:ascii="仿宋_GB2312" w:hAnsi="仿宋_GB2312" w:cs="仿宋_GB2312" w:eastAsia="仿宋_GB2312"/>
                <w:sz w:val="20"/>
              </w:rPr>
              <w:t>个工作日内一次性无息返还。</w:t>
            </w:r>
          </w:p>
          <w:p>
            <w:pPr>
              <w:pStyle w:val="null3"/>
              <w:jc w:val="both"/>
            </w:pPr>
            <w:r>
              <w:rPr>
                <w:rFonts w:ascii="仿宋_GB2312" w:hAnsi="仿宋_GB2312" w:cs="仿宋_GB2312" w:eastAsia="仿宋_GB2312"/>
                <w:sz w:val="20"/>
              </w:rPr>
              <w:t>每期付款时供应商提供等额发票申请款项。</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、质量保证</w:t>
            </w:r>
          </w:p>
          <w:p>
            <w:pPr>
              <w:pStyle w:val="null3"/>
              <w:jc w:val="both"/>
            </w:pPr>
            <w:r>
              <w:rPr>
                <w:rFonts w:ascii="仿宋_GB2312" w:hAnsi="仿宋_GB2312" w:cs="仿宋_GB2312" w:eastAsia="仿宋_GB2312"/>
                <w:sz w:val="20"/>
              </w:rPr>
              <w:t>（一）乙方应保质保量按照甲方要求施工，工程完工后乙方按照国家相关技术规范要求进行验收。乙方若不按甲方要求施工的，甲方有权要求乙方停工，乙方应在发包方规定期限内进行整改，停工期间工期不顺延，由此产生的费用及损失，乙方自行承担；乙方累计停工超过约定工期一半天数的，视为乙方根本违约，甲方有权单方解除合同，合同自书面解除通知送达乙方之日解除，乙方除应赔偿由此给甲方造成的全部损失外，还应按照合同总价的</w:t>
            </w:r>
            <w:r>
              <w:rPr>
                <w:rFonts w:ascii="仿宋_GB2312" w:hAnsi="仿宋_GB2312" w:cs="仿宋_GB2312" w:eastAsia="仿宋_GB2312"/>
                <w:sz w:val="20"/>
              </w:rPr>
              <w:t>30%</w:t>
            </w:r>
            <w:r>
              <w:rPr>
                <w:rFonts w:ascii="仿宋_GB2312" w:hAnsi="仿宋_GB2312" w:cs="仿宋_GB2312" w:eastAsia="仿宋_GB2312"/>
                <w:sz w:val="20"/>
              </w:rPr>
              <w:t>承担违约金。</w:t>
            </w:r>
          </w:p>
          <w:p>
            <w:pPr>
              <w:pStyle w:val="null3"/>
              <w:jc w:val="both"/>
            </w:pPr>
            <w:r>
              <w:rPr>
                <w:rFonts w:ascii="仿宋_GB2312" w:hAnsi="仿宋_GB2312" w:cs="仿宋_GB2312" w:eastAsia="仿宋_GB2312"/>
                <w:sz w:val="20"/>
              </w:rPr>
              <w:t>（二）乙方应妥善保护甲方提供的设备及现场放置的陈设、工程成品及</w:t>
            </w:r>
            <w:r>
              <w:rPr>
                <w:rFonts w:ascii="仿宋_GB2312" w:hAnsi="仿宋_GB2312" w:cs="仿宋_GB2312" w:eastAsia="仿宋_GB2312"/>
                <w:sz w:val="20"/>
              </w:rPr>
              <w:t>材料</w:t>
            </w:r>
            <w:r>
              <w:rPr>
                <w:rFonts w:ascii="仿宋_GB2312" w:hAnsi="仿宋_GB2312" w:cs="仿宋_GB2312" w:eastAsia="仿宋_GB2312"/>
                <w:sz w:val="20"/>
              </w:rPr>
              <w:t>，如造成损失，乙方照价赔偿。</w:t>
            </w:r>
          </w:p>
          <w:p>
            <w:pPr>
              <w:pStyle w:val="null3"/>
              <w:jc w:val="both"/>
            </w:pPr>
            <w:r>
              <w:rPr>
                <w:rFonts w:ascii="仿宋_GB2312" w:hAnsi="仿宋_GB2312" w:cs="仿宋_GB2312" w:eastAsia="仿宋_GB2312"/>
                <w:sz w:val="20"/>
              </w:rPr>
              <w:t>（三）未经甲方书面同意，乙方擅自拆改原有建筑物的结构或设备管线，由此发生的损失或事故（包括罚款），由乙方负责并承担全部责任。</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、质保期</w:t>
            </w:r>
          </w:p>
          <w:p>
            <w:pPr>
              <w:pStyle w:val="null3"/>
              <w:jc w:val="both"/>
            </w:pPr>
            <w:r>
              <w:rPr>
                <w:rFonts w:ascii="仿宋_GB2312" w:hAnsi="仿宋_GB2312" w:cs="仿宋_GB2312" w:eastAsia="仿宋_GB2312"/>
                <w:sz w:val="20"/>
              </w:rPr>
              <w:t>自验收之日起，按《建设工程质量管理条例》》第三十二条规定：乙方对施工中出现质量问题的建设工程或者竣工验收不合格的建设工程，应当负责返修且工期不顺延，由此产生的费用及造成的损失，乙方自行承担。</w:t>
            </w:r>
          </w:p>
          <w:p>
            <w:pPr>
              <w:pStyle w:val="null3"/>
              <w:jc w:val="both"/>
            </w:pPr>
            <w:r>
              <w:rPr>
                <w:rFonts w:ascii="仿宋_GB2312" w:hAnsi="仿宋_GB2312" w:cs="仿宋_GB2312" w:eastAsia="仿宋_GB2312"/>
                <w:sz w:val="20"/>
              </w:rPr>
              <w:t>自验收合格之日起五年，根据成交单位响应文件，合同未约定质保事项以《房屋建筑工程质量保修办法》为准。</w:t>
            </w:r>
          </w:p>
          <w:p>
            <w:pPr>
              <w:pStyle w:val="null3"/>
              <w:jc w:val="both"/>
            </w:pPr>
            <w:r>
              <w:rPr>
                <w:rFonts w:ascii="仿宋_GB2312" w:hAnsi="仿宋_GB2312" w:cs="仿宋_GB2312" w:eastAsia="仿宋_GB2312"/>
                <w:sz w:val="20"/>
              </w:rPr>
              <w:t>（三）违约责任</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按《中华人民共和国民法典》中的相关条款执行。</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未按合同要求提供，质量不能满足技术要求的，甲方会同政府采购机构有权终止合同（合同自书面通知送达乙方之日解除），乙方赔偿甲方解除合同的全部损失（包括但不限于重新采购产生的费用及其它由此造成的甲方对第三方的违约损失），并按照合同总价的</w:t>
            </w:r>
            <w:r>
              <w:rPr>
                <w:rFonts w:ascii="仿宋_GB2312" w:hAnsi="仿宋_GB2312" w:cs="仿宋_GB2312" w:eastAsia="仿宋_GB2312"/>
                <w:sz w:val="20"/>
              </w:rPr>
              <w:t>30%</w:t>
            </w:r>
            <w:r>
              <w:rPr>
                <w:rFonts w:ascii="仿宋_GB2312" w:hAnsi="仿宋_GB2312" w:cs="仿宋_GB2312" w:eastAsia="仿宋_GB2312"/>
                <w:sz w:val="20"/>
              </w:rPr>
              <w:t>支付违约金。同时按《政府采购法》有关处罚条款报监管机构进行相应的处罚。</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乙方提供的人员、材料、设备须与投标承诺一致，未经甲方书面同意不得擅自更换或撤出，擅自更换或撤出应向甲方支付人民币</w:t>
            </w:r>
            <w:r>
              <w:rPr>
                <w:rFonts w:ascii="仿宋_GB2312" w:hAnsi="仿宋_GB2312" w:cs="仿宋_GB2312" w:eastAsia="仿宋_GB2312"/>
                <w:sz w:val="20"/>
              </w:rPr>
              <w:t>5000</w:t>
            </w:r>
            <w:r>
              <w:rPr>
                <w:rFonts w:ascii="仿宋_GB2312" w:hAnsi="仿宋_GB2312" w:cs="仿宋_GB2312" w:eastAsia="仿宋_GB2312"/>
                <w:sz w:val="20"/>
              </w:rPr>
              <w:t>元的违约金，甲方有权从未支付的工程款中直接扣除。同时有权要求乙方限期恢复投标承诺约定的人员、设备配置；若违约金不足以弥补甲方实际损失的，甲方有权就超出部分向乙方追偿</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详见采购需求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1、供应商资格要求.docx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财务状况报告（须提供供应商2024年具有财务审计资质单位出具的完整财务报告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 3、有依法缴纳税收和社会保障资金的良好记录，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 4、具备履行合同所必需的设备和专业技术能力的证明材料（提供承诺书）； 5、参加政府采购活动前三年内，在经营活动中没有重大违法记录（提供参加政府采购活动前三年内，在经营活动中没有重大违法记录承诺书）；6法定代表人授权书:非法定代表人参加投标的，须提供法定代表人委托授权书、被授权人身份证及被授权人近12个月内至少连续3个月社保缴纳证明，法定代表人参加投标时,只需提供法定代表人身份证;</w:t>
            </w:r>
          </w:p>
        </w:tc>
        <w:tc>
          <w:tcPr>
            <w:tcW w:type="dxa" w:w="1661"/>
          </w:tcPr>
          <w:p>
            <w:pPr>
              <w:pStyle w:val="null3"/>
            </w:pPr>
            <w:r>
              <w:rPr>
                <w:rFonts w:ascii="仿宋_GB2312" w:hAnsi="仿宋_GB2312" w:cs="仿宋_GB2312" w:eastAsia="仿宋_GB2312"/>
              </w:rPr>
              <w:t>1、供应商资格要求.docx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提供声明函；</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1、供应商资格要求.docx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提供承诺书（格式自拟）；</w:t>
            </w:r>
          </w:p>
        </w:tc>
        <w:tc>
          <w:tcPr>
            <w:tcW w:type="dxa" w:w="3322"/>
          </w:tcPr>
          <w:p>
            <w:pPr>
              <w:pStyle w:val="null3"/>
            </w:pPr>
            <w:r>
              <w:rPr>
                <w:rFonts w:ascii="仿宋_GB2312" w:hAnsi="仿宋_GB2312" w:cs="仿宋_GB2312" w:eastAsia="仿宋_GB2312"/>
              </w:rPr>
              <w:t>承诺声明投标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tc>
        <w:tc>
          <w:tcPr>
            <w:tcW w:type="dxa" w:w="1661"/>
          </w:tcPr>
          <w:p>
            <w:pPr>
              <w:pStyle w:val="null3"/>
            </w:pPr>
            <w:r>
              <w:rPr>
                <w:rFonts w:ascii="仿宋_GB2312" w:hAnsi="仿宋_GB2312" w:cs="仿宋_GB2312" w:eastAsia="仿宋_GB2312"/>
              </w:rPr>
              <w:t>1、供应商资格要求.docx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供应商须具备建筑装饰装修专业承包资质二级及以上资质，并取得有效的安全生产许可证。</w:t>
            </w:r>
          </w:p>
        </w:tc>
        <w:tc>
          <w:tcPr>
            <w:tcW w:type="dxa" w:w="1661"/>
          </w:tcPr>
          <w:p>
            <w:pPr>
              <w:pStyle w:val="null3"/>
            </w:pPr>
            <w:r>
              <w:rPr>
                <w:rFonts w:ascii="仿宋_GB2312" w:hAnsi="仿宋_GB2312" w:cs="仿宋_GB2312" w:eastAsia="仿宋_GB2312"/>
              </w:rPr>
              <w:t>1、供应商资格要求.docx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供应商拟派项目负责人须具备建筑工程建造师二级及以上资质，同时提供行政主管部门颁发的具有安全生产考核合格证书B类证书，且无在建项目（附承诺）。</w:t>
            </w:r>
          </w:p>
        </w:tc>
        <w:tc>
          <w:tcPr>
            <w:tcW w:type="dxa" w:w="1661"/>
          </w:tcPr>
          <w:p>
            <w:pPr>
              <w:pStyle w:val="null3"/>
            </w:pPr>
            <w:r>
              <w:rPr>
                <w:rFonts w:ascii="仿宋_GB2312" w:hAnsi="仿宋_GB2312" w:cs="仿宋_GB2312" w:eastAsia="仿宋_GB2312"/>
              </w:rPr>
              <w:t>13、拟派项目经理业绩及职称.docx 1、供应商资格要求.docx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响应报价超过采购预算或者最高限价的将否决其磋商资格。</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响应文件有效期应满足磋商文件要求，不满足的否决其磋商资格。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提供利益关系承诺函（实质性要求）</w:t>
            </w:r>
          </w:p>
        </w:tc>
        <w:tc>
          <w:tcPr>
            <w:tcW w:type="dxa" w:w="3322"/>
          </w:tcPr>
          <w:p>
            <w:pPr>
              <w:pStyle w:val="null3"/>
            </w:pPr>
            <w:r>
              <w:rPr>
                <w:rFonts w:ascii="仿宋_GB2312" w:hAnsi="仿宋_GB2312" w:cs="仿宋_GB2312" w:eastAsia="仿宋_GB2312"/>
              </w:rPr>
              <w:t>提供利益关系承诺函</w:t>
            </w:r>
          </w:p>
        </w:tc>
        <w:tc>
          <w:tcPr>
            <w:tcW w:type="dxa" w:w="1661"/>
          </w:tcPr>
          <w:p>
            <w:pPr>
              <w:pStyle w:val="null3"/>
            </w:pPr>
            <w:r>
              <w:rPr>
                <w:rFonts w:ascii="仿宋_GB2312" w:hAnsi="仿宋_GB2312" w:cs="仿宋_GB2312" w:eastAsia="仿宋_GB2312"/>
              </w:rPr>
              <w:t>2、承诺函（无利益关系）.docx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响应文件含有采购人不能接受的附加条件的或关键性商务条款负偏离磋商要求的（付款方式、工期、质保期），将否决其磋商资格。</w:t>
            </w:r>
          </w:p>
        </w:tc>
        <w:tc>
          <w:tcPr>
            <w:tcW w:type="dxa" w:w="1661"/>
          </w:tcPr>
          <w:p>
            <w:pPr>
              <w:pStyle w:val="null3"/>
            </w:pPr>
            <w:r>
              <w:rPr>
                <w:rFonts w:ascii="仿宋_GB2312" w:hAnsi="仿宋_GB2312" w:cs="仿宋_GB2312" w:eastAsia="仿宋_GB2312"/>
              </w:rPr>
              <w:t>3、商务条款偏离表.docx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节能、环保产品承诺</w:t>
            </w:r>
          </w:p>
        </w:tc>
        <w:tc>
          <w:tcPr>
            <w:tcW w:type="dxa" w:w="3322"/>
          </w:tcPr>
          <w:p>
            <w:pPr>
              <w:pStyle w:val="null3"/>
            </w:pPr>
            <w:r>
              <w:rPr>
                <w:rFonts w:ascii="仿宋_GB2312" w:hAnsi="仿宋_GB2312" w:cs="仿宋_GB2312" w:eastAsia="仿宋_GB2312"/>
              </w:rPr>
              <w:t>本项目涉及《财政部 发展改革委 生态环境部 市场监管总局 关于调整优化节能产品、环境标志产品政府采购执行机制的通知》（财库〔2019〕9号）所规定的需强制采购或优先采购的节能产品、环境标志产品的，供应商须承诺按照上述要求提供产品及材料。未提供承诺的将否决其磋商资格。</w:t>
            </w:r>
          </w:p>
        </w:tc>
        <w:tc>
          <w:tcPr>
            <w:tcW w:type="dxa" w:w="1661"/>
          </w:tcPr>
          <w:p>
            <w:pPr>
              <w:pStyle w:val="null3"/>
            </w:pPr>
            <w:r>
              <w:rPr>
                <w:rFonts w:ascii="仿宋_GB2312" w:hAnsi="仿宋_GB2312" w:cs="仿宋_GB2312" w:eastAsia="仿宋_GB2312"/>
              </w:rPr>
              <w:t>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1.整体施工组织计划详细、符合项目特点及要求，各专业施工工艺及技术措施科学合理，得9分； 2.整体施工组织计划较详细、满足项目要求，各专业施工工艺及技术措施科学合理，得6分； 3.整体施工组织计划较为详细、可以满足项目要求，得3分； 4.整体施工组织计划描述简单、可以满足项目要求、可行，得1分； 5.完全不符合得0分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4、施工组织计划.docx</w:t>
            </w:r>
          </w:p>
        </w:tc>
      </w:tr>
      <w:tr>
        <w:tc>
          <w:tcPr>
            <w:tcW w:type="dxa" w:w="831"/>
            <w:vMerge/>
          </w:tcPr>
          <w:p/>
        </w:tc>
        <w:tc>
          <w:tcPr>
            <w:tcW w:type="dxa" w:w="1661"/>
          </w:tcPr>
          <w:p>
            <w:pPr>
              <w:pStyle w:val="null3"/>
            </w:pPr>
            <w:r>
              <w:rPr>
                <w:rFonts w:ascii="仿宋_GB2312" w:hAnsi="仿宋_GB2312" w:cs="仿宋_GB2312" w:eastAsia="仿宋_GB2312"/>
              </w:rPr>
              <w:t>施工管理方案</w:t>
            </w:r>
          </w:p>
        </w:tc>
        <w:tc>
          <w:tcPr>
            <w:tcW w:type="dxa" w:w="2492"/>
          </w:tcPr>
          <w:p>
            <w:pPr>
              <w:pStyle w:val="null3"/>
            </w:pPr>
            <w:r>
              <w:rPr>
                <w:rFonts w:ascii="仿宋_GB2312" w:hAnsi="仿宋_GB2312" w:cs="仿宋_GB2312" w:eastAsia="仿宋_GB2312"/>
              </w:rPr>
              <w:t>包括但不限于施工现场的人员管理、材料堆放、设备维护、环境卫生等方面： 1、管理方案切实可行、细致严谨、科学合理、管理思路清晰得9分； 2、管理方案基本可行、较为严谨、比较合理，管理思路基本清晰得6分； 3、管理方案可行性差，缺乏严谨性和合理性，管理思路混乱的3分； 4、未提供不得分。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5、施工管理方案.docx</w:t>
            </w:r>
          </w:p>
        </w:tc>
      </w:tr>
      <w:tr>
        <w:tc>
          <w:tcPr>
            <w:tcW w:type="dxa" w:w="831"/>
            <w:vMerge/>
          </w:tcPr>
          <w:p/>
        </w:tc>
        <w:tc>
          <w:tcPr>
            <w:tcW w:type="dxa" w:w="1661"/>
          </w:tcPr>
          <w:p>
            <w:pPr>
              <w:pStyle w:val="null3"/>
            </w:pPr>
            <w:r>
              <w:rPr>
                <w:rFonts w:ascii="仿宋_GB2312" w:hAnsi="仿宋_GB2312" w:cs="仿宋_GB2312" w:eastAsia="仿宋_GB2312"/>
              </w:rPr>
              <w:t>原材料采购方案</w:t>
            </w:r>
          </w:p>
        </w:tc>
        <w:tc>
          <w:tcPr>
            <w:tcW w:type="dxa" w:w="2492"/>
          </w:tcPr>
          <w:p>
            <w:pPr>
              <w:pStyle w:val="null3"/>
            </w:pPr>
            <w:r>
              <w:rPr>
                <w:rFonts w:ascii="仿宋_GB2312" w:hAnsi="仿宋_GB2312" w:cs="仿宋_GB2312" w:eastAsia="仿宋_GB2312"/>
              </w:rPr>
              <w:t>方案内容详实、全面，明确了原材料的种类、采购渠道、价格控制措施等关键环节，且措施具体可行，具有较强的可操作性和风险防范能力得6分； 方案内容基本完整，对原材料采购的主要方面有所涉及，部分措施不够具体得3分； 方案内容简单笼统，缺乏对原材料采购关键环 节的明确规划和具体措施得1分；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6、原材料采购方案.docx</w:t>
            </w:r>
          </w:p>
        </w:tc>
      </w:tr>
      <w:tr>
        <w:tc>
          <w:tcPr>
            <w:tcW w:type="dxa" w:w="831"/>
            <w:vMerge/>
          </w:tcPr>
          <w:p/>
        </w:tc>
        <w:tc>
          <w:tcPr>
            <w:tcW w:type="dxa" w:w="1661"/>
          </w:tcPr>
          <w:p>
            <w:pPr>
              <w:pStyle w:val="null3"/>
            </w:pPr>
            <w:r>
              <w:rPr>
                <w:rFonts w:ascii="仿宋_GB2312" w:hAnsi="仿宋_GB2312" w:cs="仿宋_GB2312" w:eastAsia="仿宋_GB2312"/>
              </w:rPr>
              <w:t>应急实施方案</w:t>
            </w:r>
          </w:p>
        </w:tc>
        <w:tc>
          <w:tcPr>
            <w:tcW w:type="dxa" w:w="2492"/>
          </w:tcPr>
          <w:p>
            <w:pPr>
              <w:pStyle w:val="null3"/>
            </w:pPr>
            <w:r>
              <w:rPr>
                <w:rFonts w:ascii="仿宋_GB2312" w:hAnsi="仿宋_GB2312" w:cs="仿宋_GB2312" w:eastAsia="仿宋_GB2312"/>
              </w:rPr>
              <w:t>1、方案内容全面、科学合理，措施具体明确且具有很强的可操作性和有效性，能够全面覆盖应急项目的所有关键环节得6分； 2、方案内容较为完整，措施相对具体，具备一定的可操作性和有效性，能够覆盖应急项目的主要方面得4分； 3、方案内容基本完整，但部分关键环节覆盖不全，措施较为笼统，可操作性和有效性一般得2分； 4、方案内容残缺不全，对应急项目的关键环节几乎没有涉及，措施空洞，不具备可操作性和有效性得1分；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7、应急实施方案.docx</w:t>
            </w:r>
          </w:p>
        </w:tc>
      </w:tr>
      <w:tr>
        <w:tc>
          <w:tcPr>
            <w:tcW w:type="dxa" w:w="831"/>
            <w:vMerge/>
          </w:tcPr>
          <w:p/>
        </w:tc>
        <w:tc>
          <w:tcPr>
            <w:tcW w:type="dxa" w:w="1661"/>
          </w:tcPr>
          <w:p>
            <w:pPr>
              <w:pStyle w:val="null3"/>
            </w:pPr>
            <w:r>
              <w:rPr>
                <w:rFonts w:ascii="仿宋_GB2312" w:hAnsi="仿宋_GB2312" w:cs="仿宋_GB2312" w:eastAsia="仿宋_GB2312"/>
              </w:rPr>
              <w:t>安全文明施工现场管理</w:t>
            </w:r>
          </w:p>
        </w:tc>
        <w:tc>
          <w:tcPr>
            <w:tcW w:type="dxa" w:w="2492"/>
          </w:tcPr>
          <w:p>
            <w:pPr>
              <w:pStyle w:val="null3"/>
            </w:pPr>
            <w:r>
              <w:rPr>
                <w:rFonts w:ascii="仿宋_GB2312" w:hAnsi="仿宋_GB2312" w:cs="仿宋_GB2312" w:eastAsia="仿宋_GB2312"/>
              </w:rPr>
              <w:t>对供应商提供的安全管理制度、文明施工管理制度、人员管理制度、安全文明施工管理体系进行评审： 1、制度完善、合理，有针对性的得7分； 2、制度较完善、合理的得4分； 3、制度不完善的得1分； 4、未提供不得分。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8、安全文明施工现场管理.docx</w:t>
            </w:r>
          </w:p>
        </w:tc>
      </w:tr>
      <w:tr>
        <w:tc>
          <w:tcPr>
            <w:tcW w:type="dxa" w:w="831"/>
            <w:vMerge/>
          </w:tcPr>
          <w:p/>
        </w:tc>
        <w:tc>
          <w:tcPr>
            <w:tcW w:type="dxa" w:w="1661"/>
          </w:tcPr>
          <w:p>
            <w:pPr>
              <w:pStyle w:val="null3"/>
            </w:pPr>
            <w:r>
              <w:rPr>
                <w:rFonts w:ascii="仿宋_GB2312" w:hAnsi="仿宋_GB2312" w:cs="仿宋_GB2312" w:eastAsia="仿宋_GB2312"/>
              </w:rPr>
              <w:t>工程质量保证体系和技术措施</w:t>
            </w:r>
          </w:p>
        </w:tc>
        <w:tc>
          <w:tcPr>
            <w:tcW w:type="dxa" w:w="2492"/>
          </w:tcPr>
          <w:p>
            <w:pPr>
              <w:pStyle w:val="null3"/>
            </w:pPr>
            <w:r>
              <w:rPr>
                <w:rFonts w:ascii="仿宋_GB2312" w:hAnsi="仿宋_GB2312" w:cs="仿宋_GB2312" w:eastAsia="仿宋_GB2312"/>
              </w:rPr>
              <w:t>对供应商提供的工程质量保证体系和技术措施进行评审： 1、质量管理体系健全，具有完整、可行的质量保证体系和质量控制措施，且主要工程和关键部位的技术措施和施工方法明确，主要材料设备质量标准明确、质量控制措施合理、质量溯源及保证措施合理，有满足工程质量检测要求的设备的得5分； 2、质量管理体系基本健全，具有较完整、可行的质量保证体系和质量控制措施，且主要工程和关键部位的技术措施和施工方法基本明确，主要材料设备质量标准基本明确、质量控制措施基本合理、质量溯源及保证措施基本合理的得3分； 3、质量管理体系基本健全，具有较完整、可行的质量保证体系和质量控制措施的得1分；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9、工程质量保证体系和技术措施.docx</w:t>
            </w:r>
          </w:p>
        </w:tc>
      </w:tr>
      <w:tr>
        <w:tc>
          <w:tcPr>
            <w:tcW w:type="dxa" w:w="831"/>
            <w:vMerge/>
          </w:tcPr>
          <w:p/>
        </w:tc>
        <w:tc>
          <w:tcPr>
            <w:tcW w:type="dxa" w:w="1661"/>
          </w:tcPr>
          <w:p>
            <w:pPr>
              <w:pStyle w:val="null3"/>
            </w:pPr>
            <w:r>
              <w:rPr>
                <w:rFonts w:ascii="仿宋_GB2312" w:hAnsi="仿宋_GB2312" w:cs="仿宋_GB2312" w:eastAsia="仿宋_GB2312"/>
              </w:rPr>
              <w:t>确保计划工期的技术组织措施</w:t>
            </w:r>
          </w:p>
        </w:tc>
        <w:tc>
          <w:tcPr>
            <w:tcW w:type="dxa" w:w="2492"/>
          </w:tcPr>
          <w:p>
            <w:pPr>
              <w:pStyle w:val="null3"/>
            </w:pPr>
            <w:r>
              <w:rPr>
                <w:rFonts w:ascii="仿宋_GB2312" w:hAnsi="仿宋_GB2312" w:cs="仿宋_GB2312" w:eastAsia="仿宋_GB2312"/>
              </w:rPr>
              <w:t>对供应商提供的确保计划工期的技术组织措施进行评审： 1、措施完善、合理，有针对性的得6分； 2、措施较完善、合理的得3分； 3、措施不完善的得1分；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10、确保计划工期的技术组织措施.docx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对供应商提供的确保安全生产的技术组织措施进行评审： 1、措施内容详实、有针对性的得6分； 2、措施内容基本完整的得3分； 3、措施有缺漏的得1分；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11、确保安全生产的技术组织措施.docx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对供应商施工机械配备和材料投入计划进行评审： 1、机械、材料配备完整且满足项目需求的得 6 分； 2、机械、材料配备基本完整的得3分； 3、机械、材料配备不完善的得1分；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12、施工机械配备和材料投入计划.docx</w:t>
            </w:r>
          </w:p>
        </w:tc>
      </w:tr>
      <w:tr>
        <w:tc>
          <w:tcPr>
            <w:tcW w:type="dxa" w:w="831"/>
            <w:vMerge/>
          </w:tcPr>
          <w:p/>
        </w:tc>
        <w:tc>
          <w:tcPr>
            <w:tcW w:type="dxa" w:w="1661"/>
          </w:tcPr>
          <w:p>
            <w:pPr>
              <w:pStyle w:val="null3"/>
            </w:pPr>
            <w:r>
              <w:rPr>
                <w:rFonts w:ascii="仿宋_GB2312" w:hAnsi="仿宋_GB2312" w:cs="仿宋_GB2312" w:eastAsia="仿宋_GB2312"/>
              </w:rPr>
              <w:t>拟派项目经理业绩及职称</w:t>
            </w:r>
          </w:p>
        </w:tc>
        <w:tc>
          <w:tcPr>
            <w:tcW w:type="dxa" w:w="2492"/>
          </w:tcPr>
          <w:p>
            <w:pPr>
              <w:pStyle w:val="null3"/>
            </w:pPr>
            <w:r>
              <w:rPr>
                <w:rFonts w:ascii="仿宋_GB2312" w:hAnsi="仿宋_GB2312" w:cs="仿宋_GB2312" w:eastAsia="仿宋_GB2312"/>
              </w:rPr>
              <w:t>1、拟派项目经理近三年（2022年12月1日至今）承担过的（室内装修）施工业绩项目经理职位，具备一项得2分，本项最高4分。 注：提供所承揽项目的合同复印件，以合同复印件中项目经理的姓名为准，否则不作为考核。 2、拟派项目经理职称：供应商拟派项目经理具备中级工程相关类职称得2分，高级工程相关职称得4分。 注：所提供人员应相关证书复印件，否则不作为</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13、拟派项目经理业绩及职称.docx</w:t>
            </w:r>
          </w:p>
        </w:tc>
      </w:tr>
      <w:tr>
        <w:tc>
          <w:tcPr>
            <w:tcW w:type="dxa" w:w="831"/>
            <w:vMerge/>
          </w:tcPr>
          <w:p/>
        </w:tc>
        <w:tc>
          <w:tcPr>
            <w:tcW w:type="dxa" w:w="1661"/>
          </w:tcPr>
          <w:p>
            <w:pPr>
              <w:pStyle w:val="null3"/>
            </w:pPr>
            <w:r>
              <w:rPr>
                <w:rFonts w:ascii="仿宋_GB2312" w:hAnsi="仿宋_GB2312" w:cs="仿宋_GB2312" w:eastAsia="仿宋_GB2312"/>
              </w:rPr>
              <w:t>拟派项目部组成及人员配备</w:t>
            </w:r>
          </w:p>
        </w:tc>
        <w:tc>
          <w:tcPr>
            <w:tcW w:type="dxa" w:w="2492"/>
          </w:tcPr>
          <w:p>
            <w:pPr>
              <w:pStyle w:val="null3"/>
            </w:pPr>
            <w:r>
              <w:rPr>
                <w:rFonts w:ascii="仿宋_GB2312" w:hAnsi="仿宋_GB2312" w:cs="仿宋_GB2312" w:eastAsia="仿宋_GB2312"/>
              </w:rPr>
              <w:t>施工员、资料员、质量员、材料员、安全员、造价员为基本配置，满足基本配置得6分。缺少任意人员配备本项不得分。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14、拟派项目部组成及人员配备.docx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供应商近三年（2022年12月1日至今）承担过的装饰装修项目施工业绩，每有1项得2分，最多得6分。注：提供业绩合同关键页（包括合同首页、签字盖章页、承揽项目内容相关内容页），否则不予计分。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1.最低评标价为评标基准价，得20分。 2.按（评标基准价/评标价×20）的公式计算价格得分。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详见附件：1、供应商资格要求.docx</w:t>
      </w:r>
    </w:p>
    <w:p>
      <w:pPr>
        <w:pStyle w:val="null3"/>
        <w:ind w:firstLine="960"/>
      </w:pPr>
      <w:r>
        <w:rPr>
          <w:rFonts w:ascii="仿宋_GB2312" w:hAnsi="仿宋_GB2312" w:cs="仿宋_GB2312" w:eastAsia="仿宋_GB2312"/>
        </w:rPr>
        <w:t>详见附件：2、承诺函（无利益关系）.docx</w:t>
      </w:r>
    </w:p>
    <w:p>
      <w:pPr>
        <w:pStyle w:val="null3"/>
        <w:ind w:firstLine="960"/>
      </w:pPr>
      <w:r>
        <w:rPr>
          <w:rFonts w:ascii="仿宋_GB2312" w:hAnsi="仿宋_GB2312" w:cs="仿宋_GB2312" w:eastAsia="仿宋_GB2312"/>
        </w:rPr>
        <w:t>详见附件：3、商务条款偏离表.docx</w:t>
      </w:r>
    </w:p>
    <w:p>
      <w:pPr>
        <w:pStyle w:val="null3"/>
        <w:ind w:firstLine="960"/>
      </w:pPr>
      <w:r>
        <w:rPr>
          <w:rFonts w:ascii="仿宋_GB2312" w:hAnsi="仿宋_GB2312" w:cs="仿宋_GB2312" w:eastAsia="仿宋_GB2312"/>
        </w:rPr>
        <w:t>详见附件：4、施工组织计划.docx</w:t>
      </w:r>
    </w:p>
    <w:p>
      <w:pPr>
        <w:pStyle w:val="null3"/>
        <w:ind w:firstLine="960"/>
      </w:pPr>
      <w:r>
        <w:rPr>
          <w:rFonts w:ascii="仿宋_GB2312" w:hAnsi="仿宋_GB2312" w:cs="仿宋_GB2312" w:eastAsia="仿宋_GB2312"/>
        </w:rPr>
        <w:t>详见附件：5、施工管理方案.docx</w:t>
      </w:r>
    </w:p>
    <w:p>
      <w:pPr>
        <w:pStyle w:val="null3"/>
        <w:ind w:firstLine="960"/>
      </w:pPr>
      <w:r>
        <w:rPr>
          <w:rFonts w:ascii="仿宋_GB2312" w:hAnsi="仿宋_GB2312" w:cs="仿宋_GB2312" w:eastAsia="仿宋_GB2312"/>
        </w:rPr>
        <w:t>详见附件：6、原材料采购方案.docx</w:t>
      </w:r>
    </w:p>
    <w:p>
      <w:pPr>
        <w:pStyle w:val="null3"/>
        <w:ind w:firstLine="960"/>
      </w:pPr>
      <w:r>
        <w:rPr>
          <w:rFonts w:ascii="仿宋_GB2312" w:hAnsi="仿宋_GB2312" w:cs="仿宋_GB2312" w:eastAsia="仿宋_GB2312"/>
        </w:rPr>
        <w:t>详见附件：7、应急实施方案.docx</w:t>
      </w:r>
    </w:p>
    <w:p>
      <w:pPr>
        <w:pStyle w:val="null3"/>
        <w:ind w:firstLine="960"/>
      </w:pPr>
      <w:r>
        <w:rPr>
          <w:rFonts w:ascii="仿宋_GB2312" w:hAnsi="仿宋_GB2312" w:cs="仿宋_GB2312" w:eastAsia="仿宋_GB2312"/>
        </w:rPr>
        <w:t>详见附件：8、安全文明施工现场管理.docx</w:t>
      </w:r>
    </w:p>
    <w:p>
      <w:pPr>
        <w:pStyle w:val="null3"/>
        <w:ind w:firstLine="960"/>
      </w:pPr>
      <w:r>
        <w:rPr>
          <w:rFonts w:ascii="仿宋_GB2312" w:hAnsi="仿宋_GB2312" w:cs="仿宋_GB2312" w:eastAsia="仿宋_GB2312"/>
        </w:rPr>
        <w:t>详见附件：9、工程质量保证体系和技术措施.docx</w:t>
      </w:r>
    </w:p>
    <w:p>
      <w:pPr>
        <w:pStyle w:val="null3"/>
        <w:ind w:firstLine="960"/>
      </w:pPr>
      <w:r>
        <w:rPr>
          <w:rFonts w:ascii="仿宋_GB2312" w:hAnsi="仿宋_GB2312" w:cs="仿宋_GB2312" w:eastAsia="仿宋_GB2312"/>
        </w:rPr>
        <w:t>详见附件：10、确保计划工期的技术组织措施.docx</w:t>
      </w:r>
    </w:p>
    <w:p>
      <w:pPr>
        <w:pStyle w:val="null3"/>
        <w:ind w:firstLine="960"/>
      </w:pPr>
      <w:r>
        <w:rPr>
          <w:rFonts w:ascii="仿宋_GB2312" w:hAnsi="仿宋_GB2312" w:cs="仿宋_GB2312" w:eastAsia="仿宋_GB2312"/>
        </w:rPr>
        <w:t>详见附件：11、确保安全生产的技术组织措施.docx</w:t>
      </w:r>
    </w:p>
    <w:p>
      <w:pPr>
        <w:pStyle w:val="null3"/>
        <w:ind w:firstLine="960"/>
      </w:pPr>
      <w:r>
        <w:rPr>
          <w:rFonts w:ascii="仿宋_GB2312" w:hAnsi="仿宋_GB2312" w:cs="仿宋_GB2312" w:eastAsia="仿宋_GB2312"/>
        </w:rPr>
        <w:t>详见附件：12、施工机械配备和材料投入计划.docx</w:t>
      </w:r>
    </w:p>
    <w:p>
      <w:pPr>
        <w:pStyle w:val="null3"/>
        <w:ind w:firstLine="960"/>
      </w:pPr>
      <w:r>
        <w:rPr>
          <w:rFonts w:ascii="仿宋_GB2312" w:hAnsi="仿宋_GB2312" w:cs="仿宋_GB2312" w:eastAsia="仿宋_GB2312"/>
        </w:rPr>
        <w:t>详见附件：13、拟派项目经理业绩及职称.docx</w:t>
      </w:r>
    </w:p>
    <w:p>
      <w:pPr>
        <w:pStyle w:val="null3"/>
        <w:ind w:firstLine="960"/>
      </w:pPr>
      <w:r>
        <w:rPr>
          <w:rFonts w:ascii="仿宋_GB2312" w:hAnsi="仿宋_GB2312" w:cs="仿宋_GB2312" w:eastAsia="仿宋_GB2312"/>
        </w:rPr>
        <w:t>详见附件：14、拟派项目部组成及人员配备.docx</w:t>
      </w:r>
    </w:p>
    <w:p>
      <w:pPr>
        <w:pStyle w:val="null3"/>
        <w:ind w:firstLine="960"/>
      </w:pPr>
      <w:r>
        <w:rPr>
          <w:rFonts w:ascii="仿宋_GB2312" w:hAnsi="仿宋_GB2312" w:cs="仿宋_GB2312" w:eastAsia="仿宋_GB2312"/>
        </w:rPr>
        <w:t>详见附件：15、业绩一览表.docx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