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24880">
      <w:pPr>
        <w:jc w:val="center"/>
        <w:outlineLvl w:val="9"/>
        <w:rPr>
          <w:rFonts w:hint="eastAsia" w:ascii="宋体" w:hAnsi="宋体" w:cs="宋体"/>
          <w:b w:val="0"/>
          <w:bCs w:val="0"/>
          <w:color w:val="auto"/>
          <w:sz w:val="44"/>
          <w:szCs w:val="44"/>
          <w:highlight w:val="none"/>
          <w:u w:val="none"/>
          <w:lang w:eastAsia="zh-CN"/>
        </w:rPr>
      </w:pPr>
      <w:r>
        <w:rPr>
          <w:rFonts w:hint="eastAsia" w:ascii="宋体" w:hAnsi="宋体" w:cs="宋体"/>
          <w:b w:val="0"/>
          <w:bCs w:val="0"/>
          <w:color w:val="auto"/>
          <w:sz w:val="44"/>
          <w:szCs w:val="44"/>
          <w:highlight w:val="none"/>
          <w:u w:val="none"/>
          <w:lang w:eastAsia="zh-CN"/>
        </w:rPr>
        <w:t>西安市第二社会福利院</w:t>
      </w:r>
    </w:p>
    <w:p w14:paraId="77AA34D6">
      <w:pPr>
        <w:jc w:val="center"/>
        <w:outlineLvl w:val="9"/>
        <w:rPr>
          <w:rFonts w:hint="eastAsia" w:ascii="宋体" w:hAnsi="宋体" w:cs="宋体"/>
          <w:b w:val="0"/>
          <w:bCs w:val="0"/>
          <w:color w:val="auto"/>
          <w:sz w:val="44"/>
          <w:szCs w:val="44"/>
          <w:highlight w:val="none"/>
          <w:u w:val="none"/>
          <w:lang w:eastAsia="zh-CN"/>
        </w:rPr>
      </w:pPr>
      <w:r>
        <w:rPr>
          <w:rFonts w:hint="eastAsia" w:ascii="宋体" w:hAnsi="宋体" w:cs="宋体"/>
          <w:b w:val="0"/>
          <w:bCs w:val="0"/>
          <w:color w:val="auto"/>
          <w:sz w:val="44"/>
          <w:szCs w:val="44"/>
          <w:highlight w:val="none"/>
          <w:u w:val="none"/>
          <w:lang w:val="en-US" w:eastAsia="zh-CN"/>
        </w:rPr>
        <w:t>2026年</w:t>
      </w:r>
      <w:r>
        <w:rPr>
          <w:rFonts w:hint="eastAsia" w:ascii="宋体" w:hAnsi="宋体" w:cs="宋体"/>
          <w:b w:val="0"/>
          <w:bCs w:val="0"/>
          <w:color w:val="auto"/>
          <w:sz w:val="44"/>
          <w:szCs w:val="44"/>
          <w:highlight w:val="none"/>
          <w:u w:val="none"/>
          <w:lang w:eastAsia="zh-CN"/>
        </w:rPr>
        <w:t>特困人员主副食采购项目</w:t>
      </w:r>
    </w:p>
    <w:p w14:paraId="59D4A610">
      <w:pPr>
        <w:pStyle w:val="2"/>
        <w:rPr>
          <w:rFonts w:hint="eastAsia" w:ascii="宋体" w:hAnsi="宋体" w:eastAsia="宋体" w:cs="宋体"/>
          <w:b/>
          <w:bCs/>
          <w:color w:val="auto"/>
          <w:sz w:val="44"/>
          <w:szCs w:val="44"/>
          <w:highlight w:val="none"/>
          <w:u w:val="none"/>
          <w:lang w:eastAsia="zh-CN"/>
        </w:rPr>
      </w:pPr>
    </w:p>
    <w:p w14:paraId="46FC96FD">
      <w:pPr>
        <w:rPr>
          <w:rFonts w:hint="eastAsia" w:ascii="宋体" w:hAnsi="宋体" w:eastAsia="宋体" w:cs="宋体"/>
          <w:b/>
          <w:bCs/>
          <w:color w:val="auto"/>
          <w:sz w:val="44"/>
          <w:szCs w:val="44"/>
          <w:highlight w:val="none"/>
          <w:u w:val="none"/>
          <w:lang w:eastAsia="zh-CN"/>
        </w:rPr>
      </w:pPr>
    </w:p>
    <w:p w14:paraId="455D9F65">
      <w:pPr>
        <w:pStyle w:val="2"/>
        <w:rPr>
          <w:rFonts w:hint="eastAsia" w:ascii="宋体" w:hAnsi="宋体" w:eastAsia="宋体" w:cs="宋体"/>
          <w:b/>
          <w:bCs/>
          <w:color w:val="auto"/>
          <w:sz w:val="44"/>
          <w:szCs w:val="44"/>
          <w:highlight w:val="none"/>
          <w:u w:val="none"/>
          <w:lang w:eastAsia="zh-CN"/>
        </w:rPr>
      </w:pPr>
    </w:p>
    <w:p w14:paraId="3A40E061">
      <w:pPr>
        <w:rPr>
          <w:rFonts w:hint="eastAsia" w:ascii="宋体" w:hAnsi="宋体" w:eastAsia="宋体" w:cs="宋体"/>
          <w:b/>
          <w:bCs/>
          <w:color w:val="auto"/>
          <w:sz w:val="44"/>
          <w:szCs w:val="44"/>
          <w:highlight w:val="none"/>
          <w:u w:val="none"/>
          <w:lang w:eastAsia="zh-CN"/>
        </w:rPr>
      </w:pPr>
    </w:p>
    <w:p w14:paraId="25B3DF14">
      <w:pPr>
        <w:pStyle w:val="2"/>
        <w:jc w:val="center"/>
        <w:rPr>
          <w:rFonts w:hint="eastAsia" w:ascii="宋体" w:hAnsi="宋体" w:cs="宋体"/>
          <w:b/>
          <w:bCs/>
          <w:color w:val="auto"/>
          <w:sz w:val="56"/>
          <w:szCs w:val="56"/>
          <w:highlight w:val="none"/>
          <w:u w:val="none"/>
          <w:lang w:eastAsia="zh-CN"/>
        </w:rPr>
      </w:pPr>
      <w:r>
        <w:rPr>
          <w:rFonts w:hint="eastAsia" w:ascii="宋体" w:hAnsi="宋体" w:cs="宋体"/>
          <w:b/>
          <w:bCs/>
          <w:color w:val="auto"/>
          <w:sz w:val="56"/>
          <w:szCs w:val="56"/>
          <w:highlight w:val="none"/>
          <w:u w:val="none"/>
          <w:lang w:eastAsia="zh-CN"/>
        </w:rPr>
        <w:t>采</w:t>
      </w:r>
    </w:p>
    <w:p w14:paraId="7E86F86A">
      <w:pPr>
        <w:pStyle w:val="2"/>
        <w:jc w:val="center"/>
        <w:rPr>
          <w:rFonts w:hint="eastAsia" w:ascii="宋体" w:hAnsi="宋体" w:cs="宋体"/>
          <w:b/>
          <w:bCs/>
          <w:color w:val="auto"/>
          <w:sz w:val="56"/>
          <w:szCs w:val="56"/>
          <w:highlight w:val="none"/>
          <w:u w:val="none"/>
          <w:lang w:eastAsia="zh-CN"/>
        </w:rPr>
      </w:pPr>
      <w:r>
        <w:rPr>
          <w:rFonts w:hint="eastAsia" w:ascii="宋体" w:hAnsi="宋体" w:cs="宋体"/>
          <w:b/>
          <w:bCs/>
          <w:color w:val="auto"/>
          <w:sz w:val="56"/>
          <w:szCs w:val="56"/>
          <w:highlight w:val="none"/>
          <w:u w:val="none"/>
          <w:lang w:eastAsia="zh-CN"/>
        </w:rPr>
        <w:t>购</w:t>
      </w:r>
    </w:p>
    <w:p w14:paraId="3580D48D">
      <w:pPr>
        <w:pStyle w:val="2"/>
        <w:jc w:val="center"/>
        <w:rPr>
          <w:rFonts w:hint="eastAsia" w:ascii="宋体" w:hAnsi="宋体" w:cs="宋体"/>
          <w:b/>
          <w:bCs/>
          <w:color w:val="auto"/>
          <w:sz w:val="56"/>
          <w:szCs w:val="56"/>
          <w:highlight w:val="none"/>
          <w:u w:val="none"/>
          <w:lang w:eastAsia="zh-CN"/>
        </w:rPr>
      </w:pPr>
      <w:r>
        <w:rPr>
          <w:rFonts w:hint="eastAsia" w:ascii="宋体" w:hAnsi="宋体" w:cs="宋体"/>
          <w:b/>
          <w:bCs/>
          <w:color w:val="auto"/>
          <w:sz w:val="56"/>
          <w:szCs w:val="56"/>
          <w:highlight w:val="none"/>
          <w:u w:val="none"/>
          <w:lang w:eastAsia="zh-CN"/>
        </w:rPr>
        <w:t>合</w:t>
      </w:r>
    </w:p>
    <w:p w14:paraId="59168913">
      <w:pPr>
        <w:pStyle w:val="2"/>
        <w:jc w:val="center"/>
        <w:rPr>
          <w:rFonts w:hint="eastAsia" w:ascii="宋体" w:hAnsi="宋体" w:cs="宋体"/>
          <w:b/>
          <w:bCs/>
          <w:color w:val="auto"/>
          <w:sz w:val="56"/>
          <w:szCs w:val="56"/>
          <w:highlight w:val="none"/>
          <w:u w:val="none"/>
          <w:lang w:eastAsia="zh-CN"/>
        </w:rPr>
      </w:pPr>
      <w:r>
        <w:rPr>
          <w:rFonts w:hint="eastAsia" w:ascii="宋体" w:hAnsi="宋体" w:cs="宋体"/>
          <w:b/>
          <w:bCs/>
          <w:color w:val="auto"/>
          <w:sz w:val="56"/>
          <w:szCs w:val="56"/>
          <w:highlight w:val="none"/>
          <w:u w:val="none"/>
          <w:lang w:eastAsia="zh-CN"/>
        </w:rPr>
        <w:t>同</w:t>
      </w:r>
    </w:p>
    <w:p w14:paraId="101E58F7">
      <w:pPr>
        <w:rPr>
          <w:rFonts w:hint="eastAsia" w:ascii="宋体" w:hAnsi="宋体" w:cs="宋体"/>
          <w:b/>
          <w:bCs/>
          <w:color w:val="auto"/>
          <w:sz w:val="56"/>
          <w:szCs w:val="56"/>
          <w:highlight w:val="none"/>
          <w:u w:val="none"/>
          <w:lang w:eastAsia="zh-CN"/>
        </w:rPr>
      </w:pPr>
    </w:p>
    <w:p w14:paraId="12E5D007">
      <w:pPr>
        <w:pStyle w:val="2"/>
        <w:rPr>
          <w:rFonts w:hint="eastAsia" w:ascii="宋体" w:hAnsi="宋体" w:cs="宋体"/>
          <w:b/>
          <w:bCs/>
          <w:color w:val="auto"/>
          <w:sz w:val="56"/>
          <w:szCs w:val="56"/>
          <w:highlight w:val="none"/>
          <w:u w:val="none"/>
          <w:lang w:eastAsia="zh-CN"/>
        </w:rPr>
      </w:pPr>
    </w:p>
    <w:p w14:paraId="205F12CC">
      <w:pPr>
        <w:rPr>
          <w:rFonts w:hint="eastAsia" w:ascii="宋体" w:hAnsi="宋体" w:cs="宋体"/>
          <w:b/>
          <w:bCs/>
          <w:color w:val="auto"/>
          <w:sz w:val="56"/>
          <w:szCs w:val="56"/>
          <w:highlight w:val="none"/>
          <w:u w:val="none"/>
          <w:lang w:eastAsia="zh-CN"/>
        </w:rPr>
      </w:pPr>
    </w:p>
    <w:p w14:paraId="349801A4">
      <w:pPr>
        <w:jc w:val="center"/>
        <w:rPr>
          <w:rFonts w:hint="eastAsia" w:ascii="宋体" w:hAnsi="宋体" w:cs="宋体"/>
          <w:b/>
          <w:bCs/>
          <w:color w:val="auto"/>
          <w:sz w:val="56"/>
          <w:szCs w:val="56"/>
          <w:highlight w:val="none"/>
          <w:u w:val="none"/>
          <w:lang w:val="en-US" w:eastAsia="zh-CN"/>
        </w:rPr>
      </w:pPr>
      <w:r>
        <w:rPr>
          <w:rFonts w:hint="eastAsia" w:ascii="Times New Roman" w:hAnsi="Times New Roman" w:eastAsia="宋体" w:cs="Times New Roman"/>
          <w:color w:val="auto"/>
          <w:kern w:val="0"/>
          <w:sz w:val="32"/>
          <w:lang w:val="en-US" w:eastAsia="zh-CN" w:bidi="ar-SA"/>
        </w:rPr>
        <w:t>2025年  月</w:t>
      </w:r>
    </w:p>
    <w:p w14:paraId="525C95DA">
      <w:pPr>
        <w:pStyle w:val="2"/>
        <w:jc w:val="center"/>
        <w:rPr>
          <w:rFonts w:hint="default"/>
          <w:color w:val="auto"/>
          <w:lang w:val="en-US" w:eastAsia="zh-CN"/>
        </w:rPr>
      </w:pPr>
      <w:r>
        <w:rPr>
          <w:rFonts w:hint="eastAsia"/>
          <w:color w:val="auto"/>
          <w:lang w:val="en-US" w:eastAsia="zh-CN"/>
        </w:rPr>
        <w:t>陕西·西安</w:t>
      </w:r>
    </w:p>
    <w:p w14:paraId="2EF9C3BE">
      <w:pPr>
        <w:outlineLvl w:val="9"/>
        <w:rPr>
          <w:rFonts w:hint="eastAsia" w:ascii="宋体" w:hAnsi="宋体" w:eastAsia="宋体" w:cs="宋体"/>
          <w:b/>
          <w:bCs/>
          <w:color w:val="auto"/>
          <w:sz w:val="24"/>
          <w:szCs w:val="24"/>
          <w:highlight w:val="none"/>
          <w:u w:val="none"/>
        </w:rPr>
      </w:pPr>
      <w:r>
        <w:rPr>
          <w:rFonts w:hint="eastAsia" w:ascii="宋体" w:hAnsi="宋体" w:eastAsia="宋体" w:cs="宋体"/>
          <w:b/>
          <w:bCs/>
          <w:color w:val="auto"/>
          <w:sz w:val="24"/>
          <w:szCs w:val="24"/>
          <w:highlight w:val="none"/>
          <w:u w:val="none"/>
        </w:rPr>
        <w:br w:type="page"/>
      </w:r>
    </w:p>
    <w:p w14:paraId="3DF597A3">
      <w:pPr>
        <w:keepNext w:val="0"/>
        <w:keepLines w:val="0"/>
        <w:pageBreakBefore w:val="0"/>
        <w:widowControl w:val="0"/>
        <w:kinsoku/>
        <w:wordWrap/>
        <w:overflowPunct/>
        <w:topLinePunct w:val="0"/>
        <w:bidi w:val="0"/>
        <w:spacing w:line="560" w:lineRule="exact"/>
        <w:ind w:left="0" w:leftChars="0" w:right="0" w:rightChars="0"/>
        <w:jc w:val="left"/>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rPr>
        <w:t>甲方：</w:t>
      </w:r>
      <w:r>
        <w:rPr>
          <w:rFonts w:hint="eastAsia" w:ascii="宋体" w:hAnsi="宋体" w:eastAsia="宋体" w:cs="宋体"/>
          <w:b/>
          <w:bCs/>
          <w:color w:val="auto"/>
          <w:sz w:val="24"/>
          <w:szCs w:val="24"/>
          <w:highlight w:val="none"/>
          <w:u w:val="none"/>
          <w:lang w:val="en-US" w:eastAsia="zh-CN"/>
        </w:rPr>
        <w:t xml:space="preserve">                         （以下简称甲方）</w:t>
      </w:r>
    </w:p>
    <w:p w14:paraId="72A10273">
      <w:pPr>
        <w:keepNext w:val="0"/>
        <w:keepLines w:val="0"/>
        <w:pageBreakBefore w:val="0"/>
        <w:widowControl w:val="0"/>
        <w:kinsoku/>
        <w:wordWrap/>
        <w:overflowPunct/>
        <w:topLinePunct w:val="0"/>
        <w:bidi w:val="0"/>
        <w:spacing w:line="560" w:lineRule="exact"/>
        <w:ind w:left="0" w:leftChars="0" w:right="0" w:rightChars="0"/>
        <w:jc w:val="left"/>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社会统一信用代码：</w:t>
      </w:r>
    </w:p>
    <w:p w14:paraId="3613D9BF">
      <w:pPr>
        <w:keepNext w:val="0"/>
        <w:keepLines w:val="0"/>
        <w:pageBreakBefore w:val="0"/>
        <w:widowControl w:val="0"/>
        <w:kinsoku/>
        <w:wordWrap/>
        <w:overflowPunct/>
        <w:topLinePunct w:val="0"/>
        <w:bidi w:val="0"/>
        <w:spacing w:line="560" w:lineRule="exact"/>
        <w:ind w:left="0" w:leftChars="0" w:right="0" w:rightChars="0"/>
        <w:jc w:val="left"/>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rPr>
        <w:t>地址：</w:t>
      </w:r>
      <w:r>
        <w:rPr>
          <w:rFonts w:hint="eastAsia" w:ascii="宋体" w:hAnsi="宋体" w:eastAsia="宋体" w:cs="宋体"/>
          <w:b/>
          <w:bCs/>
          <w:color w:val="auto"/>
          <w:sz w:val="24"/>
          <w:szCs w:val="24"/>
          <w:highlight w:val="none"/>
          <w:u w:val="none"/>
          <w:lang w:val="en-US" w:eastAsia="zh-CN"/>
        </w:rPr>
        <w:t xml:space="preserve"> </w:t>
      </w:r>
    </w:p>
    <w:p w14:paraId="6BEBEB04">
      <w:pPr>
        <w:pStyle w:val="4"/>
        <w:keepNext w:val="0"/>
        <w:keepLines w:val="0"/>
        <w:pageBreakBefore w:val="0"/>
        <w:widowControl w:val="0"/>
        <w:kinsoku/>
        <w:wordWrap/>
        <w:overflowPunct/>
        <w:topLinePunct w:val="0"/>
        <w:bidi w:val="0"/>
        <w:spacing w:line="560" w:lineRule="exact"/>
        <w:ind w:left="0" w:leftChars="0" w:right="0" w:rightChars="0" w:firstLine="0" w:firstLineChars="0"/>
        <w:jc w:val="left"/>
        <w:textAlignment w:val="auto"/>
        <w:outlineLvl w:val="9"/>
        <w:rPr>
          <w:rFonts w:hint="eastAsia" w:ascii="宋体" w:hAnsi="宋体" w:eastAsia="宋体" w:cs="宋体"/>
          <w:color w:val="auto"/>
          <w:sz w:val="24"/>
          <w:szCs w:val="24"/>
          <w:highlight w:val="none"/>
          <w:u w:val="none"/>
        </w:rPr>
      </w:pPr>
      <w:r>
        <w:rPr>
          <w:rFonts w:hint="eastAsia" w:ascii="宋体" w:hAnsi="宋体" w:eastAsia="宋体" w:cs="宋体"/>
          <w:b/>
          <w:bCs/>
          <w:color w:val="auto"/>
          <w:sz w:val="24"/>
          <w:szCs w:val="24"/>
          <w:highlight w:val="none"/>
          <w:u w:val="none"/>
          <w:lang w:val="en-US" w:eastAsia="zh-CN"/>
        </w:rPr>
        <w:t>联系</w:t>
      </w:r>
      <w:r>
        <w:rPr>
          <w:rFonts w:hint="eastAsia" w:ascii="宋体" w:hAnsi="宋体" w:eastAsia="宋体" w:cs="宋体"/>
          <w:b/>
          <w:bCs/>
          <w:color w:val="auto"/>
          <w:sz w:val="24"/>
          <w:szCs w:val="24"/>
          <w:highlight w:val="none"/>
          <w:u w:val="none"/>
        </w:rPr>
        <w:t xml:space="preserve">电话：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w:t>
      </w:r>
    </w:p>
    <w:p w14:paraId="542CD3B3">
      <w:pPr>
        <w:pStyle w:val="4"/>
        <w:keepNext w:val="0"/>
        <w:keepLines w:val="0"/>
        <w:pageBreakBefore w:val="0"/>
        <w:widowControl w:val="0"/>
        <w:kinsoku/>
        <w:wordWrap/>
        <w:overflowPunct/>
        <w:topLinePunct w:val="0"/>
        <w:bidi w:val="0"/>
        <w:spacing w:line="560" w:lineRule="exact"/>
        <w:ind w:left="0" w:leftChars="0" w:right="0" w:rightChars="0" w:firstLine="0"/>
        <w:jc w:val="left"/>
        <w:textAlignment w:val="auto"/>
        <w:outlineLvl w:val="9"/>
        <w:rPr>
          <w:rFonts w:hint="eastAsia" w:ascii="宋体" w:hAnsi="宋体" w:eastAsia="宋体" w:cs="宋体"/>
          <w:color w:val="auto"/>
          <w:sz w:val="24"/>
          <w:szCs w:val="24"/>
          <w:highlight w:val="none"/>
          <w:u w:val="none"/>
          <w:lang w:val="en-US" w:eastAsia="zh-CN"/>
        </w:rPr>
      </w:pPr>
    </w:p>
    <w:p w14:paraId="1CF640C4">
      <w:pPr>
        <w:pStyle w:val="4"/>
        <w:keepNext w:val="0"/>
        <w:keepLines w:val="0"/>
        <w:pageBreakBefore w:val="0"/>
        <w:widowControl w:val="0"/>
        <w:kinsoku/>
        <w:wordWrap/>
        <w:overflowPunct/>
        <w:topLinePunct w:val="0"/>
        <w:bidi w:val="0"/>
        <w:spacing w:line="560" w:lineRule="exact"/>
        <w:ind w:left="0" w:leftChars="0" w:right="0" w:rightChars="0" w:firstLine="0" w:firstLineChars="0"/>
        <w:jc w:val="left"/>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rPr>
        <w:t>乙方：</w:t>
      </w:r>
      <w:r>
        <w:rPr>
          <w:rFonts w:hint="eastAsia" w:ascii="宋体" w:hAnsi="宋体" w:eastAsia="宋体" w:cs="宋体"/>
          <w:b/>
          <w:bCs/>
          <w:color w:val="auto"/>
          <w:sz w:val="24"/>
          <w:szCs w:val="24"/>
          <w:highlight w:val="none"/>
          <w:u w:val="none"/>
          <w:lang w:val="en-US" w:eastAsia="zh-CN"/>
        </w:rPr>
        <w:t xml:space="preserve">                          （以下简称乙方）</w:t>
      </w:r>
    </w:p>
    <w:p w14:paraId="09ED83A5">
      <w:pPr>
        <w:pStyle w:val="4"/>
        <w:keepNext w:val="0"/>
        <w:keepLines w:val="0"/>
        <w:pageBreakBefore w:val="0"/>
        <w:widowControl w:val="0"/>
        <w:kinsoku/>
        <w:wordWrap/>
        <w:overflowPunct/>
        <w:topLinePunct w:val="0"/>
        <w:bidi w:val="0"/>
        <w:spacing w:line="560" w:lineRule="exact"/>
        <w:ind w:left="0" w:leftChars="0" w:right="0" w:rightChars="0" w:firstLine="0" w:firstLineChars="0"/>
        <w:jc w:val="left"/>
        <w:textAlignment w:val="auto"/>
        <w:outlineLvl w:val="9"/>
        <w:rPr>
          <w:rFonts w:hint="eastAsia" w:ascii="宋体" w:hAnsi="宋体" w:eastAsia="宋体" w:cs="宋体"/>
          <w:b/>
          <w:bCs/>
          <w:color w:val="auto"/>
          <w:sz w:val="24"/>
          <w:szCs w:val="24"/>
          <w:highlight w:val="none"/>
          <w:u w:val="none"/>
          <w:lang w:val="en-US"/>
        </w:rPr>
      </w:pPr>
      <w:r>
        <w:rPr>
          <w:rFonts w:hint="eastAsia" w:ascii="宋体" w:hAnsi="宋体" w:eastAsia="宋体" w:cs="宋体"/>
          <w:b/>
          <w:bCs/>
          <w:color w:val="auto"/>
          <w:sz w:val="24"/>
          <w:szCs w:val="24"/>
          <w:highlight w:val="none"/>
          <w:u w:val="none"/>
          <w:lang w:val="en-US" w:eastAsia="zh-CN"/>
        </w:rPr>
        <w:t xml:space="preserve">社会统一信用代码：                                         </w:t>
      </w:r>
    </w:p>
    <w:p w14:paraId="076FE020">
      <w:pPr>
        <w:keepNext w:val="0"/>
        <w:keepLines w:val="0"/>
        <w:pageBreakBefore w:val="0"/>
        <w:widowControl w:val="0"/>
        <w:kinsoku/>
        <w:wordWrap/>
        <w:overflowPunct/>
        <w:topLinePunct w:val="0"/>
        <w:bidi w:val="0"/>
        <w:spacing w:line="560" w:lineRule="exact"/>
        <w:ind w:left="0" w:leftChars="0" w:right="0" w:rightChars="0"/>
        <w:jc w:val="left"/>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rPr>
        <w:t xml:space="preserve">地址：   </w:t>
      </w:r>
      <w:r>
        <w:rPr>
          <w:rFonts w:hint="eastAsia" w:ascii="宋体" w:hAnsi="宋体" w:eastAsia="宋体" w:cs="宋体"/>
          <w:b/>
          <w:bCs/>
          <w:color w:val="auto"/>
          <w:sz w:val="24"/>
          <w:szCs w:val="24"/>
          <w:highlight w:val="none"/>
          <w:u w:val="none"/>
          <w:lang w:val="en-US" w:eastAsia="zh-CN"/>
        </w:rPr>
        <w:t xml:space="preserve">                                            </w:t>
      </w:r>
      <w:r>
        <w:rPr>
          <w:rFonts w:hint="eastAsia" w:ascii="宋体" w:hAnsi="宋体" w:eastAsia="宋体" w:cs="宋体"/>
          <w:b/>
          <w:bCs/>
          <w:color w:val="auto"/>
          <w:sz w:val="24"/>
          <w:szCs w:val="24"/>
          <w:highlight w:val="none"/>
          <w:u w:val="none"/>
        </w:rPr>
        <w:t xml:space="preserve">           </w:t>
      </w:r>
      <w:r>
        <w:rPr>
          <w:rFonts w:hint="eastAsia" w:ascii="宋体" w:hAnsi="宋体" w:eastAsia="宋体" w:cs="宋体"/>
          <w:b/>
          <w:bCs/>
          <w:color w:val="auto"/>
          <w:sz w:val="24"/>
          <w:szCs w:val="24"/>
          <w:highlight w:val="none"/>
          <w:u w:val="none"/>
          <w:lang w:val="en-US" w:eastAsia="zh-CN"/>
        </w:rPr>
        <w:t xml:space="preserve">                                       </w:t>
      </w:r>
    </w:p>
    <w:p w14:paraId="24519D49">
      <w:pPr>
        <w:keepNext w:val="0"/>
        <w:keepLines w:val="0"/>
        <w:pageBreakBefore w:val="0"/>
        <w:widowControl w:val="0"/>
        <w:kinsoku/>
        <w:wordWrap/>
        <w:overflowPunct/>
        <w:topLinePunct w:val="0"/>
        <w:bidi w:val="0"/>
        <w:snapToGrid/>
        <w:spacing w:line="560" w:lineRule="exact"/>
        <w:ind w:left="0" w:leftChars="0" w:right="0" w:right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none"/>
          <w:lang w:val="en-US" w:eastAsia="zh-CN"/>
        </w:rPr>
        <w:t>联系电话</w:t>
      </w:r>
      <w:r>
        <w:rPr>
          <w:rFonts w:hint="eastAsia" w:ascii="宋体" w:hAnsi="宋体" w:eastAsia="宋体" w:cs="宋体"/>
          <w:b/>
          <w:bCs/>
          <w:color w:val="auto"/>
          <w:sz w:val="24"/>
          <w:szCs w:val="24"/>
          <w:highlight w:val="none"/>
          <w:u w:val="none"/>
        </w:rPr>
        <w:t>：</w:t>
      </w:r>
    </w:p>
    <w:p w14:paraId="29A87783">
      <w:pPr>
        <w:keepNext w:val="0"/>
        <w:keepLines w:val="0"/>
        <w:pageBreakBefore w:val="0"/>
        <w:widowControl w:val="0"/>
        <w:numPr>
          <w:ilvl w:val="0"/>
          <w:numId w:val="0"/>
        </w:numPr>
        <w:kinsoku/>
        <w:wordWrap/>
        <w:overflowPunct/>
        <w:topLinePunct w:val="0"/>
        <w:bidi w:val="0"/>
        <w:snapToGrid/>
        <w:spacing w:line="560" w:lineRule="exact"/>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中华人民共和国民法典》、《中华人民共和国食品安全法》以及西安市第二社会福利院特困人员主副食采购项目的招标文件、投标文件等有关规定，双方在平等、自愿、协调一致基础上，就乙方为甲方提供食材采购及配送服务，订立本合同，甲乙双方对本合同的全部内容完全知晓，并共同遵守如下条款：</w:t>
      </w:r>
    </w:p>
    <w:p w14:paraId="295E0AA0">
      <w:pPr>
        <w:keepNext w:val="0"/>
        <w:keepLines w:val="0"/>
        <w:pageBreakBefore w:val="0"/>
        <w:widowControl w:val="0"/>
        <w:numPr>
          <w:ilvl w:val="0"/>
          <w:numId w:val="0"/>
        </w:numPr>
        <w:kinsoku/>
        <w:wordWrap/>
        <w:overflowPunct/>
        <w:topLinePunct w:val="0"/>
        <w:bidi w:val="0"/>
        <w:snapToGrid/>
        <w:spacing w:line="560" w:lineRule="exact"/>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第一条 </w:t>
      </w:r>
      <w:r>
        <w:rPr>
          <w:rFonts w:hint="eastAsia" w:ascii="宋体" w:hAnsi="宋体" w:eastAsia="宋体" w:cs="宋体"/>
          <w:color w:val="auto"/>
          <w:sz w:val="24"/>
          <w:szCs w:val="24"/>
          <w:highlight w:val="none"/>
          <w:lang w:val="en-US" w:eastAsia="zh-CN"/>
        </w:rPr>
        <w:t>采购内容及供货标段</w:t>
      </w:r>
    </w:p>
    <w:p w14:paraId="1917B897">
      <w:pPr>
        <w:keepNext w:val="0"/>
        <w:keepLines w:val="0"/>
        <w:pageBreakBefore w:val="0"/>
        <w:widowControl w:val="0"/>
        <w:kinsoku/>
        <w:wordWrap/>
        <w:overflowPunct/>
        <w:topLinePunct w:val="0"/>
        <w:bidi w:val="0"/>
        <w:snapToGrid/>
        <w:spacing w:line="5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供货的采购内容清单</w:t>
      </w:r>
      <w:r>
        <w:rPr>
          <w:rFonts w:hint="eastAsia" w:ascii="宋体" w:hAnsi="宋体" w:cs="宋体"/>
          <w:color w:val="auto"/>
          <w:sz w:val="24"/>
          <w:szCs w:val="24"/>
          <w:highlight w:val="none"/>
          <w:lang w:val="en-US" w:eastAsia="zh-CN"/>
        </w:rPr>
        <w:t>等</w:t>
      </w:r>
      <w:r>
        <w:rPr>
          <w:rFonts w:hint="eastAsia" w:ascii="宋体" w:hAnsi="宋体" w:eastAsia="宋体" w:cs="宋体"/>
          <w:color w:val="auto"/>
          <w:sz w:val="24"/>
          <w:szCs w:val="24"/>
          <w:highlight w:val="none"/>
          <w:lang w:val="en-US" w:eastAsia="zh-CN"/>
        </w:rPr>
        <w:t>具体配送内容以甲方确认的采购单为准，食材到达现场后甲方根据采购单进行食材验收并留存。</w:t>
      </w:r>
    </w:p>
    <w:p w14:paraId="2F0B9746">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Cs/>
          <w:color w:val="auto"/>
          <w:spacing w:val="10"/>
          <w:kern w:val="0"/>
          <w:sz w:val="24"/>
          <w:szCs w:val="24"/>
          <w:lang w:val="en-US" w:eastAsia="zh-CN" w:bidi="ar-SA"/>
        </w:rPr>
        <w:t>第</w:t>
      </w:r>
      <w:r>
        <w:rPr>
          <w:rFonts w:hint="eastAsia" w:ascii="宋体" w:hAnsi="宋体" w:cs="宋体"/>
          <w:bCs/>
          <w:color w:val="auto"/>
          <w:spacing w:val="10"/>
          <w:kern w:val="0"/>
          <w:sz w:val="24"/>
          <w:szCs w:val="24"/>
          <w:lang w:val="en-US" w:eastAsia="zh-CN" w:bidi="ar-SA"/>
        </w:rPr>
        <w:t>二</w:t>
      </w:r>
      <w:r>
        <w:rPr>
          <w:rFonts w:hint="eastAsia" w:ascii="宋体" w:hAnsi="宋体" w:eastAsia="宋体" w:cs="宋体"/>
          <w:bCs/>
          <w:color w:val="auto"/>
          <w:spacing w:val="10"/>
          <w:kern w:val="0"/>
          <w:sz w:val="24"/>
          <w:szCs w:val="24"/>
          <w:lang w:val="en-US" w:eastAsia="zh-CN" w:bidi="ar-SA"/>
        </w:rPr>
        <w:t>条</w:t>
      </w:r>
      <w:r>
        <w:rPr>
          <w:rFonts w:hint="eastAsia" w:ascii="宋体" w:hAnsi="宋体" w:cs="宋体"/>
          <w:bCs/>
          <w:color w:val="auto"/>
          <w:spacing w:val="10"/>
          <w:kern w:val="0"/>
          <w:sz w:val="24"/>
          <w:szCs w:val="24"/>
          <w:lang w:val="en-US" w:eastAsia="zh-CN" w:bidi="ar-SA"/>
        </w:rPr>
        <w:t xml:space="preserve"> </w:t>
      </w:r>
      <w:r>
        <w:rPr>
          <w:rFonts w:hint="eastAsia" w:ascii="宋体" w:hAnsi="宋体" w:eastAsia="宋体" w:cs="宋体"/>
          <w:color w:val="auto"/>
          <w:sz w:val="24"/>
          <w:szCs w:val="24"/>
          <w:highlight w:val="none"/>
          <w:lang w:val="en-US" w:eastAsia="zh-CN"/>
        </w:rPr>
        <w:t>供货周期与地点、要求</w:t>
      </w:r>
    </w:p>
    <w:p w14:paraId="291F970A">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kern w:val="2"/>
          <w:sz w:val="24"/>
          <w:szCs w:val="24"/>
          <w:lang w:val="en-US" w:eastAsia="zh-CN" w:bidi="ar-SA"/>
        </w:rPr>
        <w:t>1</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合同期限：</w:t>
      </w:r>
      <w:r>
        <w:rPr>
          <w:rFonts w:hint="eastAsia" w:ascii="宋体" w:hAnsi="宋体" w:cs="宋体"/>
          <w:color w:val="auto"/>
          <w:sz w:val="24"/>
          <w:szCs w:val="24"/>
          <w:highlight w:val="none"/>
          <w:lang w:val="en-US" w:eastAsia="zh-CN"/>
        </w:rPr>
        <w:t>本合同有效期为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年，即从</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日至</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日止，合同期满，双方愿意续约的，须在协议期满前一个月协商续约合同。</w:t>
      </w:r>
    </w:p>
    <w:p w14:paraId="1B011CFE">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kern w:val="2"/>
          <w:sz w:val="24"/>
          <w:szCs w:val="24"/>
          <w:lang w:val="en-US" w:eastAsia="zh-CN" w:bidi="ar-SA"/>
        </w:rPr>
        <w:t>2</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供货周期：一般情况下采购方当天下午</w:t>
      </w:r>
      <w:r>
        <w:rPr>
          <w:rFonts w:hint="eastAsia" w:ascii="宋体" w:hAnsi="宋体" w:cs="宋体"/>
          <w:color w:val="auto"/>
          <w:sz w:val="24"/>
          <w:szCs w:val="24"/>
          <w:highlight w:val="none"/>
          <w:lang w:val="en-US" w:eastAsia="zh-CN"/>
        </w:rPr>
        <w:t>16</w:t>
      </w:r>
      <w:r>
        <w:rPr>
          <w:rFonts w:hint="eastAsia" w:ascii="宋体" w:hAnsi="宋体" w:eastAsia="宋体" w:cs="宋体"/>
          <w:color w:val="auto"/>
          <w:sz w:val="24"/>
          <w:szCs w:val="24"/>
          <w:highlight w:val="none"/>
          <w:lang w:val="en-US" w:eastAsia="zh-CN"/>
        </w:rPr>
        <w:t>点之前提供采购清单，第二天1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点之前配送到位。紧急情况下接到采购方通知后2小时内配送到位；</w:t>
      </w:r>
    </w:p>
    <w:p w14:paraId="2D7CBE15">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供货地点：采购人指定地点为准；</w:t>
      </w:r>
    </w:p>
    <w:p w14:paraId="34DB4B7E">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供货要求：</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3F0E26F5">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pacing w:val="10"/>
          <w:kern w:val="0"/>
          <w:sz w:val="24"/>
          <w:szCs w:val="24"/>
          <w:lang w:val="en-US" w:eastAsia="zh-CN" w:bidi="ar-SA"/>
        </w:rPr>
        <w:t>第</w:t>
      </w:r>
      <w:r>
        <w:rPr>
          <w:rFonts w:hint="eastAsia" w:ascii="宋体" w:hAnsi="宋体" w:cs="宋体"/>
          <w:bCs/>
          <w:color w:val="auto"/>
          <w:spacing w:val="10"/>
          <w:kern w:val="0"/>
          <w:sz w:val="24"/>
          <w:szCs w:val="24"/>
          <w:lang w:val="en-US" w:eastAsia="zh-CN" w:bidi="ar-SA"/>
        </w:rPr>
        <w:t>三</w:t>
      </w:r>
      <w:r>
        <w:rPr>
          <w:rFonts w:hint="eastAsia" w:ascii="宋体" w:hAnsi="宋体" w:eastAsia="宋体" w:cs="宋体"/>
          <w:bCs/>
          <w:color w:val="auto"/>
          <w:spacing w:val="10"/>
          <w:kern w:val="0"/>
          <w:sz w:val="24"/>
          <w:szCs w:val="24"/>
          <w:lang w:val="en-US" w:eastAsia="zh-CN" w:bidi="ar-SA"/>
        </w:rPr>
        <w:t>条</w:t>
      </w:r>
      <w:r>
        <w:rPr>
          <w:rFonts w:hint="eastAsia" w:ascii="宋体" w:hAnsi="宋体" w:cs="宋体"/>
          <w:bCs/>
          <w:color w:val="auto"/>
          <w:spacing w:val="10"/>
          <w:kern w:val="0"/>
          <w:sz w:val="24"/>
          <w:szCs w:val="24"/>
          <w:lang w:val="en-US" w:eastAsia="zh-CN" w:bidi="ar-SA"/>
        </w:rPr>
        <w:t xml:space="preserve"> </w:t>
      </w:r>
      <w:r>
        <w:rPr>
          <w:rFonts w:hint="eastAsia" w:ascii="宋体" w:hAnsi="宋体" w:eastAsia="宋体" w:cs="宋体"/>
          <w:color w:val="auto"/>
          <w:sz w:val="24"/>
          <w:szCs w:val="24"/>
          <w:highlight w:val="none"/>
          <w:lang w:val="en-US" w:eastAsia="zh-CN"/>
        </w:rPr>
        <w:t>合同价款</w:t>
      </w:r>
    </w:p>
    <w:p w14:paraId="5D3D011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480" w:firstLineChars="200"/>
        <w:jc w:val="both"/>
        <w:textAlignment w:val="auto"/>
        <w:outlineLvl w:val="9"/>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合同结算价总价款不得超过本项目采购预算；</w:t>
      </w:r>
    </w:p>
    <w:p w14:paraId="597AAB5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合同签订后的前1个月，按照投标文件中的投标报价单价据实结算；</w:t>
      </w:r>
    </w:p>
    <w:p w14:paraId="38B6AB9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1个月到期前一周，由甲方采购管理部门成立临时询价小组，按照甲方周边的大型商超、农副产品批发中心等个产品的销售价格，合理确定各食材的单价，价格确定后，双方按照新确定的单价据实结算；</w:t>
      </w:r>
    </w:p>
    <w:p w14:paraId="704AD0E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以此类推，每月询价一次，价格确定后，执行期间不做任何调整，乙方承担相关价格风险，应严格按照甲方订单配送</w:t>
      </w:r>
      <w:r>
        <w:rPr>
          <w:rFonts w:hint="eastAsia" w:ascii="宋体" w:hAnsi="宋体" w:cs="宋体"/>
          <w:color w:val="auto"/>
          <w:sz w:val="24"/>
          <w:szCs w:val="24"/>
          <w:highlight w:val="none"/>
          <w:lang w:val="en-US" w:eastAsia="zh-CN"/>
        </w:rPr>
        <w:t>；</w:t>
      </w:r>
    </w:p>
    <w:p w14:paraId="10B84D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．如甲方要求乙方提供的货物未在本项目采购清单内，由甲乙双方协商供货。由乙方进行报价，甲方在</w:t>
      </w:r>
      <w:r>
        <w:rPr>
          <w:rFonts w:hint="eastAsia" w:ascii="宋体" w:hAnsi="宋体" w:cs="宋体"/>
          <w:color w:val="auto"/>
          <w:sz w:val="24"/>
          <w:szCs w:val="24"/>
          <w:highlight w:val="none"/>
          <w:lang w:val="en-US" w:eastAsia="zh-CN"/>
        </w:rPr>
        <w:t>周边的大型商超、农副产品批发中心等产品的销售</w:t>
      </w:r>
      <w:r>
        <w:rPr>
          <w:rFonts w:hint="eastAsia" w:ascii="宋体" w:hAnsi="宋体" w:eastAsia="宋体" w:cs="宋体"/>
          <w:color w:val="auto"/>
          <w:sz w:val="24"/>
          <w:szCs w:val="24"/>
          <w:highlight w:val="none"/>
          <w:lang w:val="en-US" w:eastAsia="zh-CN"/>
        </w:rPr>
        <w:t>进行采价，以甲乙双方同意并签字确认的认价单为准。</w:t>
      </w:r>
    </w:p>
    <w:p w14:paraId="45E187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.本合同价款是提供的采购服务内容及伴随服务等其他有关各项的含税费，包含乙方为履行本合同的一切必要成本。</w:t>
      </w:r>
    </w:p>
    <w:p w14:paraId="05F2FCAE">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pacing w:val="10"/>
          <w:kern w:val="0"/>
          <w:sz w:val="24"/>
          <w:szCs w:val="24"/>
          <w:lang w:val="en-US" w:eastAsia="zh-CN" w:bidi="ar-SA"/>
        </w:rPr>
        <w:t>第</w:t>
      </w:r>
      <w:r>
        <w:rPr>
          <w:rFonts w:hint="eastAsia" w:ascii="宋体" w:hAnsi="宋体" w:cs="宋体"/>
          <w:bCs/>
          <w:color w:val="auto"/>
          <w:spacing w:val="10"/>
          <w:kern w:val="0"/>
          <w:sz w:val="24"/>
          <w:szCs w:val="24"/>
          <w:lang w:val="en-US" w:eastAsia="zh-CN" w:bidi="ar-SA"/>
        </w:rPr>
        <w:t>四</w:t>
      </w:r>
      <w:r>
        <w:rPr>
          <w:rFonts w:hint="eastAsia" w:ascii="宋体" w:hAnsi="宋体" w:eastAsia="宋体" w:cs="宋体"/>
          <w:bCs/>
          <w:color w:val="auto"/>
          <w:spacing w:val="10"/>
          <w:kern w:val="0"/>
          <w:sz w:val="24"/>
          <w:szCs w:val="24"/>
          <w:lang w:val="en-US" w:eastAsia="zh-CN" w:bidi="ar-SA"/>
        </w:rPr>
        <w:t>条</w:t>
      </w:r>
      <w:r>
        <w:rPr>
          <w:rFonts w:hint="eastAsia" w:ascii="宋体" w:hAnsi="宋体" w:cs="宋体"/>
          <w:bCs/>
          <w:color w:val="auto"/>
          <w:spacing w:val="10"/>
          <w:kern w:val="0"/>
          <w:sz w:val="24"/>
          <w:szCs w:val="24"/>
          <w:lang w:val="en-US" w:eastAsia="zh-CN" w:bidi="ar-SA"/>
        </w:rPr>
        <w:t xml:space="preserve"> </w:t>
      </w:r>
      <w:r>
        <w:rPr>
          <w:rFonts w:hint="eastAsia" w:ascii="宋体" w:hAnsi="宋体" w:eastAsia="宋体" w:cs="宋体"/>
          <w:color w:val="auto"/>
          <w:sz w:val="24"/>
          <w:szCs w:val="24"/>
          <w:highlight w:val="none"/>
          <w:lang w:val="en-US" w:eastAsia="zh-CN"/>
        </w:rPr>
        <w:t>款项结算及支付方式</w:t>
      </w:r>
    </w:p>
    <w:p w14:paraId="0997318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款项结算：以月为结算周期；每月配送结束后采购人与供货商将上月配送数据确认无误后，供货商第二日将</w:t>
      </w:r>
      <w:r>
        <w:rPr>
          <w:rFonts w:hint="eastAsia" w:ascii="宋体" w:hAnsi="宋体" w:cs="宋体"/>
          <w:color w:val="auto"/>
          <w:sz w:val="24"/>
          <w:szCs w:val="24"/>
          <w:highlight w:val="none"/>
          <w:lang w:val="en-US" w:eastAsia="zh-CN"/>
        </w:rPr>
        <w:t>等额</w:t>
      </w:r>
      <w:r>
        <w:rPr>
          <w:rFonts w:hint="eastAsia" w:ascii="宋体" w:hAnsi="宋体" w:eastAsia="宋体" w:cs="宋体"/>
          <w:color w:val="auto"/>
          <w:sz w:val="24"/>
          <w:szCs w:val="24"/>
          <w:highlight w:val="none"/>
          <w:lang w:val="en-US" w:eastAsia="zh-CN"/>
        </w:rPr>
        <w:t>发票送至采购人，采购人在2个工作日内付半个月总货款，依次类推。</w:t>
      </w:r>
    </w:p>
    <w:p w14:paraId="6E68F045">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结算金额=经采购人确定的</w:t>
      </w:r>
      <w:r>
        <w:rPr>
          <w:rFonts w:hint="eastAsia" w:ascii="宋体" w:hAnsi="宋体" w:cs="宋体"/>
          <w:color w:val="auto"/>
          <w:sz w:val="24"/>
          <w:szCs w:val="24"/>
          <w:highlight w:val="none"/>
          <w:lang w:val="en-US" w:eastAsia="zh-CN"/>
        </w:rPr>
        <w:t>货物单价（按照询价小组询价*</w:t>
      </w:r>
      <w:r>
        <w:rPr>
          <w:rFonts w:hint="eastAsia" w:ascii="宋体" w:hAnsi="宋体" w:eastAsia="宋体" w:cs="宋体"/>
          <w:color w:val="auto"/>
          <w:sz w:val="24"/>
          <w:szCs w:val="24"/>
          <w:highlight w:val="none"/>
          <w:lang w:val="en-US" w:eastAsia="zh-CN"/>
        </w:rPr>
        <w:t>成交优惠费率后确定的价格</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*供货数量。</w:t>
      </w:r>
    </w:p>
    <w:p w14:paraId="69BE8D3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支付方式：双方核对无误后，乙方向甲方提供合法有效增值税发票后，甲方以银行转账的方式向乙方支付费用。如因</w:t>
      </w:r>
      <w:bookmarkStart w:id="0" w:name="_GoBack"/>
      <w:bookmarkEnd w:id="0"/>
      <w:r>
        <w:rPr>
          <w:rFonts w:hint="eastAsia" w:ascii="宋体" w:hAnsi="宋体" w:eastAsia="宋体" w:cs="宋体"/>
          <w:color w:val="auto"/>
          <w:sz w:val="24"/>
          <w:szCs w:val="24"/>
          <w:highlight w:val="none"/>
          <w:lang w:val="en-US" w:eastAsia="zh-CN"/>
        </w:rPr>
        <w:t>乙方原因未提供符合甲方要求的增值税发票、凭证或延迟交付的，甲方有权顺延付款，乙方不得以此为由追究甲方责任或者不履行本合同规定的义务；</w:t>
      </w:r>
    </w:p>
    <w:p w14:paraId="742F2A3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甲方开票信息：</w:t>
      </w:r>
    </w:p>
    <w:tbl>
      <w:tblPr>
        <w:tblStyle w:val="11"/>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9"/>
        <w:gridCol w:w="6193"/>
      </w:tblGrid>
      <w:tr w14:paraId="10091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6C1A55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right"/>
              <w:textAlignment w:val="auto"/>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单位全称：</w:t>
            </w:r>
          </w:p>
        </w:tc>
        <w:tc>
          <w:tcPr>
            <w:tcW w:w="6193" w:type="dxa"/>
            <w:noWrap w:val="0"/>
            <w:vAlign w:val="center"/>
          </w:tcPr>
          <w:p w14:paraId="1B9F6BB9">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1B81F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5644A584">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地    址：</w:t>
            </w:r>
          </w:p>
        </w:tc>
        <w:tc>
          <w:tcPr>
            <w:tcW w:w="6193" w:type="dxa"/>
            <w:noWrap w:val="0"/>
            <w:vAlign w:val="center"/>
          </w:tcPr>
          <w:p w14:paraId="442F3E68">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7A3AF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66CD7985">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电    话：</w:t>
            </w:r>
          </w:p>
        </w:tc>
        <w:tc>
          <w:tcPr>
            <w:tcW w:w="6193" w:type="dxa"/>
            <w:noWrap w:val="0"/>
            <w:vAlign w:val="center"/>
          </w:tcPr>
          <w:p w14:paraId="4F028A70">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139B2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7F7F47EA">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开户银行：</w:t>
            </w:r>
          </w:p>
        </w:tc>
        <w:tc>
          <w:tcPr>
            <w:tcW w:w="6193" w:type="dxa"/>
            <w:noWrap w:val="0"/>
            <w:vAlign w:val="center"/>
          </w:tcPr>
          <w:p w14:paraId="56321E5B">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432CB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76E18F44">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纳税人识别码：</w:t>
            </w:r>
          </w:p>
        </w:tc>
        <w:tc>
          <w:tcPr>
            <w:tcW w:w="6193" w:type="dxa"/>
            <w:noWrap w:val="0"/>
            <w:vAlign w:val="center"/>
          </w:tcPr>
          <w:p w14:paraId="13E0EB81">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0FD3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072BB45A">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账    号：</w:t>
            </w:r>
          </w:p>
        </w:tc>
        <w:tc>
          <w:tcPr>
            <w:tcW w:w="6193" w:type="dxa"/>
            <w:noWrap w:val="0"/>
            <w:vAlign w:val="center"/>
          </w:tcPr>
          <w:p w14:paraId="7468E139">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bl>
    <w:p w14:paraId="4FD52868">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乙方收款信息：</w:t>
      </w:r>
    </w:p>
    <w:tbl>
      <w:tblPr>
        <w:tblStyle w:val="11"/>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9"/>
        <w:gridCol w:w="6193"/>
      </w:tblGrid>
      <w:tr w14:paraId="2CCB6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3731BD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right"/>
              <w:textAlignment w:val="auto"/>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单位全称：</w:t>
            </w:r>
          </w:p>
        </w:tc>
        <w:tc>
          <w:tcPr>
            <w:tcW w:w="6193" w:type="dxa"/>
            <w:noWrap w:val="0"/>
            <w:vAlign w:val="center"/>
          </w:tcPr>
          <w:p w14:paraId="47646678">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40B79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6FE3C144">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地    址：</w:t>
            </w:r>
          </w:p>
        </w:tc>
        <w:tc>
          <w:tcPr>
            <w:tcW w:w="6193" w:type="dxa"/>
            <w:noWrap w:val="0"/>
            <w:vAlign w:val="center"/>
          </w:tcPr>
          <w:p w14:paraId="6B817BFE">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5A34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071840BF">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电    话：</w:t>
            </w:r>
          </w:p>
        </w:tc>
        <w:tc>
          <w:tcPr>
            <w:tcW w:w="6193" w:type="dxa"/>
            <w:noWrap w:val="0"/>
            <w:vAlign w:val="center"/>
          </w:tcPr>
          <w:p w14:paraId="3127B8DE">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2E96B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167B3419">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开户银行：</w:t>
            </w:r>
          </w:p>
        </w:tc>
        <w:tc>
          <w:tcPr>
            <w:tcW w:w="6193" w:type="dxa"/>
            <w:noWrap w:val="0"/>
            <w:vAlign w:val="center"/>
          </w:tcPr>
          <w:p w14:paraId="7BAE12CB">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620F2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498432F4">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纳税人识别码：</w:t>
            </w:r>
          </w:p>
        </w:tc>
        <w:tc>
          <w:tcPr>
            <w:tcW w:w="6193" w:type="dxa"/>
            <w:noWrap w:val="0"/>
            <w:vAlign w:val="center"/>
          </w:tcPr>
          <w:p w14:paraId="26CB310A">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r w14:paraId="6F8B3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right"/>
        </w:trPr>
        <w:tc>
          <w:tcPr>
            <w:tcW w:w="2329" w:type="dxa"/>
            <w:noWrap w:val="0"/>
            <w:vAlign w:val="center"/>
          </w:tcPr>
          <w:p w14:paraId="00EA946F">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r>
              <w:rPr>
                <w:rFonts w:hint="eastAsia" w:ascii="宋体" w:hAnsi="宋体" w:eastAsia="宋体" w:cs="宋体"/>
                <w:b w:val="0"/>
                <w:bCs w:val="0"/>
                <w:color w:val="auto"/>
                <w:sz w:val="24"/>
                <w:szCs w:val="24"/>
                <w:highlight w:val="none"/>
                <w:u w:val="none"/>
                <w:vertAlign w:val="baseline"/>
                <w:lang w:val="en-US" w:eastAsia="zh-CN"/>
              </w:rPr>
              <w:t>账    号：</w:t>
            </w:r>
          </w:p>
        </w:tc>
        <w:tc>
          <w:tcPr>
            <w:tcW w:w="6193" w:type="dxa"/>
            <w:noWrap w:val="0"/>
            <w:vAlign w:val="center"/>
          </w:tcPr>
          <w:p w14:paraId="57006AAC">
            <w:pPr>
              <w:numPr>
                <w:ilvl w:val="0"/>
                <w:numId w:val="0"/>
              </w:numPr>
              <w:tabs>
                <w:tab w:val="left" w:pos="864"/>
              </w:tabs>
              <w:ind w:leftChars="0"/>
              <w:jc w:val="right"/>
              <w:outlineLvl w:val="9"/>
              <w:rPr>
                <w:rFonts w:hint="eastAsia" w:ascii="宋体" w:hAnsi="宋体" w:eastAsia="宋体" w:cs="宋体"/>
                <w:b w:val="0"/>
                <w:bCs w:val="0"/>
                <w:color w:val="auto"/>
                <w:sz w:val="24"/>
                <w:szCs w:val="24"/>
                <w:highlight w:val="none"/>
                <w:u w:val="none"/>
                <w:vertAlign w:val="baseline"/>
                <w:lang w:val="en-US" w:eastAsia="zh-CN"/>
              </w:rPr>
            </w:pPr>
          </w:p>
        </w:tc>
      </w:tr>
    </w:tbl>
    <w:p w14:paraId="5BA07ED3">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在合同执行过程中，如因国家税务政策调整，当增值税税率提高的，则对于新增值税税率生效后发生的增值税应税行为，乙方应对本合同中的不含税金额进行相应下调，确保合同含税总金额不变，双方仍按本合同约定的含税总金额履行本合同；如因国家税务政策调整，当增值税税率降低的，则对于新增值税税率生效后发生的增值税应税行为，双方同意保持合同约定不含税金额不变，并根据减少的增值税金额相应降低合同含税总金额。             </w:t>
      </w:r>
    </w:p>
    <w:p w14:paraId="3753D0F4">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pacing w:val="10"/>
          <w:kern w:val="0"/>
          <w:sz w:val="24"/>
          <w:szCs w:val="24"/>
          <w:lang w:val="en-US" w:eastAsia="zh-CN" w:bidi="ar-SA"/>
        </w:rPr>
        <w:t>第</w:t>
      </w:r>
      <w:r>
        <w:rPr>
          <w:rFonts w:hint="eastAsia" w:ascii="宋体" w:hAnsi="宋体" w:cs="宋体"/>
          <w:bCs/>
          <w:color w:val="auto"/>
          <w:spacing w:val="10"/>
          <w:kern w:val="0"/>
          <w:sz w:val="24"/>
          <w:szCs w:val="24"/>
          <w:lang w:val="en-US" w:eastAsia="zh-CN" w:bidi="ar-SA"/>
        </w:rPr>
        <w:t>五</w:t>
      </w:r>
      <w:r>
        <w:rPr>
          <w:rFonts w:hint="eastAsia" w:ascii="宋体" w:hAnsi="宋体" w:eastAsia="宋体" w:cs="宋体"/>
          <w:bCs/>
          <w:color w:val="auto"/>
          <w:spacing w:val="10"/>
          <w:kern w:val="0"/>
          <w:sz w:val="24"/>
          <w:szCs w:val="24"/>
          <w:lang w:val="en-US" w:eastAsia="zh-CN" w:bidi="ar-SA"/>
        </w:rPr>
        <w:t>条</w:t>
      </w:r>
      <w:r>
        <w:rPr>
          <w:rFonts w:hint="eastAsia" w:ascii="宋体" w:hAnsi="宋体" w:cs="宋体"/>
          <w:bCs/>
          <w:color w:val="auto"/>
          <w:spacing w:val="10"/>
          <w:kern w:val="0"/>
          <w:sz w:val="24"/>
          <w:szCs w:val="24"/>
          <w:lang w:val="en-US" w:eastAsia="zh-CN" w:bidi="ar-SA"/>
        </w:rPr>
        <w:t xml:space="preserve"> </w:t>
      </w:r>
      <w:r>
        <w:rPr>
          <w:rFonts w:hint="eastAsia" w:ascii="宋体" w:hAnsi="宋体" w:eastAsia="宋体" w:cs="宋体"/>
          <w:color w:val="auto"/>
          <w:sz w:val="24"/>
          <w:szCs w:val="24"/>
          <w:highlight w:val="none"/>
          <w:lang w:val="en-US" w:eastAsia="zh-CN"/>
        </w:rPr>
        <w:t>工作要求和质量保证</w:t>
      </w:r>
    </w:p>
    <w:p w14:paraId="1F284083">
      <w:pPr>
        <w:keepNext w:val="0"/>
        <w:keepLines w:val="0"/>
        <w:pageBreakBefore w:val="0"/>
        <w:widowControl w:val="0"/>
        <w:numPr>
          <w:ilvl w:val="0"/>
          <w:numId w:val="3"/>
        </w:numPr>
        <w:kinsoku/>
        <w:wordWrap/>
        <w:overflowPunct/>
        <w:topLinePunct w:val="0"/>
        <w:bidi w:val="0"/>
        <w:adjustRightInd w:val="0"/>
        <w:snapToGrid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一般供货要求：由甲方指定配送时间及地点，因运输装卸过程中造成的损耗（例如包装严重变形、破损、食品污染、变异等）、发现的破损、变异食品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必须无条件更换。</w:t>
      </w:r>
    </w:p>
    <w:p w14:paraId="7E147A57">
      <w:pPr>
        <w:pStyle w:val="8"/>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紧急供货要求：在收到甲方发出紧急</w:t>
      </w:r>
      <w:r>
        <w:rPr>
          <w:rFonts w:hint="eastAsia" w:ascii="宋体" w:hAnsi="宋体" w:eastAsia="宋体" w:cs="宋体"/>
          <w:color w:val="auto"/>
          <w:sz w:val="24"/>
          <w:szCs w:val="24"/>
          <w:highlight w:val="none"/>
          <w:lang w:val="en-US" w:eastAsia="zh-CN"/>
        </w:rPr>
        <w:t>需求</w:t>
      </w:r>
      <w:r>
        <w:rPr>
          <w:rFonts w:hint="eastAsia" w:ascii="宋体" w:hAnsi="宋体" w:eastAsia="宋体" w:cs="宋体"/>
          <w:color w:val="auto"/>
          <w:sz w:val="24"/>
          <w:szCs w:val="24"/>
          <w:highlight w:val="none"/>
        </w:rPr>
        <w:t>通知</w:t>
      </w:r>
      <w:r>
        <w:rPr>
          <w:rFonts w:hint="eastAsia" w:ascii="宋体" w:hAnsi="宋体" w:eastAsia="宋体" w:cs="宋体"/>
          <w:color w:val="auto"/>
          <w:sz w:val="24"/>
          <w:szCs w:val="24"/>
          <w:highlight w:val="none"/>
          <w:lang w:val="en-US" w:eastAsia="zh-CN"/>
        </w:rPr>
        <w:t>及采购单</w:t>
      </w:r>
      <w:r>
        <w:rPr>
          <w:rFonts w:hint="eastAsia" w:ascii="宋体" w:hAnsi="宋体" w:eastAsia="宋体" w:cs="宋体"/>
          <w:color w:val="auto"/>
          <w:sz w:val="24"/>
          <w:szCs w:val="24"/>
          <w:highlight w:val="none"/>
        </w:rPr>
        <w:t>后，</w:t>
      </w:r>
      <w:r>
        <w:rPr>
          <w:rFonts w:hint="eastAsia" w:ascii="宋体" w:hAnsi="宋体" w:eastAsia="宋体" w:cs="宋体"/>
          <w:bCs/>
          <w:color w:val="auto"/>
          <w:sz w:val="24"/>
          <w:szCs w:val="24"/>
          <w:highlight w:val="none"/>
        </w:rPr>
        <w:t>乙方须在</w:t>
      </w:r>
      <w:r>
        <w:rPr>
          <w:rFonts w:hint="eastAsia" w:ascii="宋体" w:hAnsi="宋体" w:eastAsia="宋体" w:cs="宋体"/>
          <w:bCs/>
          <w:color w:val="auto"/>
          <w:sz w:val="24"/>
          <w:szCs w:val="24"/>
          <w:highlight w:val="none"/>
          <w:lang w:val="en-US" w:eastAsia="zh-CN"/>
        </w:rPr>
        <w:t>甲方</w:t>
      </w:r>
      <w:r>
        <w:rPr>
          <w:rFonts w:hint="eastAsia" w:ascii="宋体" w:hAnsi="宋体" w:eastAsia="宋体" w:cs="宋体"/>
          <w:bCs/>
          <w:color w:val="auto"/>
          <w:sz w:val="24"/>
          <w:szCs w:val="24"/>
          <w:highlight w:val="none"/>
        </w:rPr>
        <w:t>规定时间内将</w:t>
      </w:r>
      <w:r>
        <w:rPr>
          <w:rFonts w:hint="eastAsia" w:ascii="宋体" w:hAnsi="宋体" w:eastAsia="宋体" w:cs="宋体"/>
          <w:bCs/>
          <w:color w:val="auto"/>
          <w:sz w:val="24"/>
          <w:szCs w:val="24"/>
          <w:highlight w:val="none"/>
          <w:lang w:val="en-US" w:eastAsia="zh-CN"/>
        </w:rPr>
        <w:t>食材</w:t>
      </w:r>
      <w:r>
        <w:rPr>
          <w:rFonts w:hint="eastAsia" w:ascii="宋体" w:hAnsi="宋体" w:eastAsia="宋体" w:cs="宋体"/>
          <w:bCs/>
          <w:color w:val="auto"/>
          <w:sz w:val="24"/>
          <w:szCs w:val="24"/>
          <w:highlight w:val="none"/>
        </w:rPr>
        <w:t>配送到位，所送食材必须达到甲方要求，如有三次</w:t>
      </w:r>
      <w:r>
        <w:rPr>
          <w:rFonts w:hint="eastAsia" w:ascii="宋体" w:hAnsi="宋体" w:eastAsia="宋体" w:cs="宋体"/>
          <w:bCs/>
          <w:color w:val="auto"/>
          <w:sz w:val="24"/>
          <w:szCs w:val="24"/>
          <w:highlight w:val="none"/>
          <w:lang w:val="en-US" w:eastAsia="zh-CN"/>
        </w:rPr>
        <w:t>无法在</w:t>
      </w:r>
      <w:r>
        <w:rPr>
          <w:rFonts w:hint="eastAsia" w:ascii="宋体" w:hAnsi="宋体" w:eastAsia="宋体" w:cs="宋体"/>
          <w:bCs/>
          <w:color w:val="auto"/>
          <w:sz w:val="24"/>
          <w:szCs w:val="24"/>
          <w:highlight w:val="none"/>
        </w:rPr>
        <w:t>规定时间送达或所送食材达不到甲方要求，甲方有权解除合同，乙方还需承担甲方所有损失。</w:t>
      </w:r>
    </w:p>
    <w:p w14:paraId="58CEDB98">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乙方必须按照甲方人员通知的时间、数量、品种、品质要求准时送货，经验收合格后签字确认，不能以任何理由推托，一旦影响到甲方</w:t>
      </w:r>
      <w:r>
        <w:rPr>
          <w:rFonts w:hint="eastAsia" w:ascii="宋体" w:hAnsi="宋体" w:eastAsia="宋体" w:cs="宋体"/>
          <w:color w:val="auto"/>
          <w:sz w:val="24"/>
          <w:szCs w:val="24"/>
          <w:highlight w:val="none"/>
          <w:lang w:val="en-US" w:eastAsia="zh-CN"/>
        </w:rPr>
        <w:t>餐厅</w:t>
      </w:r>
      <w:r>
        <w:rPr>
          <w:rFonts w:hint="eastAsia" w:ascii="宋体" w:hAnsi="宋体" w:eastAsia="宋体" w:cs="宋体"/>
          <w:color w:val="auto"/>
          <w:sz w:val="24"/>
          <w:szCs w:val="24"/>
          <w:highlight w:val="none"/>
        </w:rPr>
        <w:t>的正常运转，甲方有权解除合同，乙方还应承担相应的经济赔偿。</w:t>
      </w:r>
    </w:p>
    <w:p w14:paraId="6E22F9D7">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乙方不能满足供货要求时，应提前1个月通知甲方，甲方同意后方可</w:t>
      </w:r>
      <w:r>
        <w:rPr>
          <w:rFonts w:hint="eastAsia" w:ascii="宋体" w:hAnsi="宋体" w:cs="宋体"/>
          <w:color w:val="auto"/>
          <w:sz w:val="24"/>
          <w:szCs w:val="24"/>
          <w:highlight w:val="none"/>
          <w:lang w:val="en-US" w:eastAsia="zh-CN"/>
        </w:rPr>
        <w:t>终止</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如有乙方未提前通知</w:t>
      </w:r>
      <w:r>
        <w:rPr>
          <w:rFonts w:hint="eastAsia" w:ascii="宋体" w:hAnsi="宋体" w:eastAsia="宋体" w:cs="宋体"/>
          <w:color w:val="auto"/>
          <w:sz w:val="24"/>
          <w:szCs w:val="24"/>
          <w:highlight w:val="none"/>
        </w:rPr>
        <w:t>产生的损失由乙方负责。</w:t>
      </w:r>
    </w:p>
    <w:p w14:paraId="0FDFA0FF">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乙方需</w:t>
      </w:r>
      <w:r>
        <w:rPr>
          <w:rFonts w:hint="eastAsia" w:ascii="宋体" w:hAnsi="宋体" w:eastAsia="宋体" w:cs="宋体"/>
          <w:color w:val="auto"/>
          <w:sz w:val="24"/>
          <w:szCs w:val="24"/>
          <w:highlight w:val="none"/>
        </w:rPr>
        <w:t>按照《中华人民共和国食品安全法》、《农产品质量安全法》等规定，提供有关的证明材料和证件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val="en-US" w:eastAsia="zh-CN"/>
        </w:rPr>
        <w:t>期限</w:t>
      </w:r>
      <w:r>
        <w:rPr>
          <w:rFonts w:hint="eastAsia" w:ascii="宋体" w:hAnsi="宋体" w:eastAsia="宋体" w:cs="宋体"/>
          <w:color w:val="auto"/>
          <w:sz w:val="24"/>
          <w:szCs w:val="24"/>
          <w:highlight w:val="none"/>
        </w:rPr>
        <w:t>内乙方应提供产品检验合格证等相关证明，无证产品甲方不予接受。</w:t>
      </w:r>
      <w:r>
        <w:rPr>
          <w:rFonts w:hint="eastAsia" w:ascii="宋体" w:hAnsi="宋体" w:eastAsia="宋体" w:cs="宋体"/>
          <w:color w:val="auto"/>
          <w:sz w:val="24"/>
          <w:szCs w:val="24"/>
          <w:highlight w:val="none"/>
          <w:lang w:val="en-US" w:eastAsia="zh-CN"/>
        </w:rPr>
        <w:t>如</w:t>
      </w:r>
      <w:r>
        <w:rPr>
          <w:rFonts w:hint="eastAsia" w:ascii="宋体" w:hAnsi="宋体" w:eastAsia="宋体" w:cs="宋体"/>
          <w:color w:val="auto"/>
          <w:sz w:val="24"/>
          <w:szCs w:val="24"/>
          <w:highlight w:val="none"/>
        </w:rPr>
        <w:t>发生食品质量问题、安全问题造成的损失由乙方</w:t>
      </w:r>
      <w:r>
        <w:rPr>
          <w:rFonts w:hint="eastAsia" w:ascii="宋体" w:hAnsi="宋体" w:eastAsia="宋体" w:cs="宋体"/>
          <w:color w:val="auto"/>
          <w:sz w:val="24"/>
          <w:szCs w:val="24"/>
          <w:highlight w:val="none"/>
          <w:lang w:val="en-US" w:eastAsia="zh-CN"/>
        </w:rPr>
        <w:t>负责外，</w:t>
      </w:r>
      <w:r>
        <w:rPr>
          <w:rFonts w:hint="eastAsia" w:ascii="宋体" w:hAnsi="宋体" w:eastAsia="宋体" w:cs="宋体"/>
          <w:color w:val="auto"/>
          <w:sz w:val="24"/>
          <w:szCs w:val="24"/>
          <w:highlight w:val="none"/>
        </w:rPr>
        <w:t>还应承担相应的经济赔偿。</w:t>
      </w:r>
    </w:p>
    <w:p w14:paraId="2DF601B9">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安排</w:t>
      </w:r>
      <w:r>
        <w:rPr>
          <w:rFonts w:hint="eastAsia" w:ascii="宋体" w:hAnsi="宋体" w:eastAsia="宋体" w:cs="宋体"/>
          <w:color w:val="auto"/>
          <w:sz w:val="24"/>
          <w:szCs w:val="24"/>
          <w:highlight w:val="none"/>
          <w:lang w:val="en-US" w:eastAsia="zh-CN"/>
        </w:rPr>
        <w:t>专</w:t>
      </w:r>
      <w:r>
        <w:rPr>
          <w:rFonts w:hint="eastAsia" w:ascii="宋体" w:hAnsi="宋体" w:eastAsia="宋体" w:cs="宋体"/>
          <w:b w:val="0"/>
          <w:bCs w:val="0"/>
          <w:color w:val="auto"/>
          <w:kern w:val="0"/>
          <w:sz w:val="24"/>
          <w:szCs w:val="24"/>
          <w:highlight w:val="none"/>
          <w:u w:val="none"/>
          <w:lang w:val="en-US" w:eastAsia="zh-CN"/>
        </w:rPr>
        <w:t>车进行配送，每个餐厅至少配置1辆车，每辆车至少配置</w:t>
      </w:r>
      <w:r>
        <w:rPr>
          <w:rFonts w:hint="eastAsia" w:ascii="宋体" w:hAnsi="宋体" w:cs="宋体"/>
          <w:b w:val="0"/>
          <w:bCs w:val="0"/>
          <w:color w:val="auto"/>
          <w:kern w:val="0"/>
          <w:sz w:val="24"/>
          <w:szCs w:val="24"/>
          <w:highlight w:val="none"/>
          <w:u w:val="none"/>
          <w:lang w:val="en-US" w:eastAsia="zh-CN"/>
        </w:rPr>
        <w:t>2</w:t>
      </w:r>
      <w:r>
        <w:rPr>
          <w:rFonts w:hint="eastAsia" w:ascii="宋体" w:hAnsi="宋体" w:eastAsia="宋体" w:cs="宋体"/>
          <w:b w:val="0"/>
          <w:bCs w:val="0"/>
          <w:color w:val="auto"/>
          <w:kern w:val="0"/>
          <w:sz w:val="24"/>
          <w:szCs w:val="24"/>
          <w:highlight w:val="none"/>
          <w:u w:val="none"/>
          <w:lang w:val="en-US" w:eastAsia="zh-CN"/>
        </w:rPr>
        <w:t>人进行送货，并</w:t>
      </w:r>
      <w:r>
        <w:rPr>
          <w:rFonts w:hint="eastAsia" w:ascii="宋体" w:hAnsi="宋体" w:eastAsia="宋体" w:cs="宋体"/>
          <w:color w:val="auto"/>
          <w:sz w:val="24"/>
          <w:szCs w:val="24"/>
          <w:highlight w:val="none"/>
        </w:rPr>
        <w:t>必须确保运输车辆和周转包装容器的清洁卫生，运输车辆应当保持清洁，无霉斑、鼠迹、苍蝇、蟑螂，不得存放有毒、有害物品及个人生活用品，防止货物在运输过程中受到污染。</w:t>
      </w:r>
    </w:p>
    <w:p w14:paraId="1AF5996D">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乙方必须建立配送、验收台帐，注明时间、数量、规格、货源、送货人、验收人、验收情况等相关信息。</w:t>
      </w:r>
    </w:p>
    <w:p w14:paraId="2FC82B4F">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建立完善、科学的管理制度，并指定专人负责，定期检查执行情况，及时解决存在的问题，确保质量。建立产品质量档案，对每批受检产品进行留样封存，以备待查。建立科学、可行的突发事故应急预案。</w:t>
      </w:r>
    </w:p>
    <w:p w14:paraId="5D827ED4">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乙方应严格遵守《食品安全法》等相关规定，所提供的</w:t>
      </w:r>
      <w:r>
        <w:rPr>
          <w:rFonts w:hint="eastAsia" w:ascii="宋体" w:hAnsi="宋体" w:eastAsia="宋体" w:cs="宋体"/>
          <w:color w:val="auto"/>
          <w:sz w:val="24"/>
          <w:szCs w:val="24"/>
          <w:highlight w:val="none"/>
          <w:lang w:val="en-US" w:eastAsia="zh-CN"/>
        </w:rPr>
        <w:t>食材</w:t>
      </w:r>
      <w:r>
        <w:rPr>
          <w:rFonts w:hint="eastAsia" w:ascii="宋体" w:hAnsi="宋体" w:eastAsia="宋体" w:cs="宋体"/>
          <w:color w:val="auto"/>
          <w:sz w:val="24"/>
          <w:szCs w:val="24"/>
          <w:highlight w:val="none"/>
        </w:rPr>
        <w:t>是合格安全，一经发现供应以下食品，甲方除全部退货外，将立即取消乙方的供货资格，乙方承担由此造成的经济责任和法律责任</w:t>
      </w:r>
      <w:r>
        <w:rPr>
          <w:rFonts w:hint="eastAsia" w:ascii="宋体" w:hAnsi="宋体" w:eastAsia="宋体" w:cs="宋体"/>
          <w:color w:val="auto"/>
          <w:sz w:val="24"/>
          <w:szCs w:val="24"/>
          <w:highlight w:val="none"/>
          <w:lang w:eastAsia="zh-CN"/>
        </w:rPr>
        <w:t>：</w:t>
      </w:r>
    </w:p>
    <w:p w14:paraId="357FD0AE">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腐败变质、油脂酸败、霉变、生虫、污秽不洁、混有异物或者其他感官性状异常，对人体健康有害的；</w:t>
      </w:r>
    </w:p>
    <w:p w14:paraId="3DD194A6">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含有毒、有害物质或者被有害物质污染，对人体健康有害的；</w:t>
      </w:r>
    </w:p>
    <w:p w14:paraId="725DFE85">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超过保质期限的。</w:t>
      </w:r>
    </w:p>
    <w:p w14:paraId="7FE52BE7">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乙方所提供</w:t>
      </w:r>
      <w:r>
        <w:rPr>
          <w:rFonts w:hint="eastAsia" w:ascii="宋体" w:hAnsi="宋体" w:eastAsia="宋体" w:cs="宋体"/>
          <w:color w:val="auto"/>
          <w:sz w:val="24"/>
          <w:szCs w:val="24"/>
          <w:highlight w:val="none"/>
          <w:lang w:val="en-US" w:eastAsia="zh-CN"/>
        </w:rPr>
        <w:t>食材</w:t>
      </w:r>
      <w:r>
        <w:rPr>
          <w:rFonts w:hint="eastAsia" w:ascii="宋体" w:hAnsi="宋体" w:eastAsia="宋体" w:cs="宋体"/>
          <w:color w:val="auto"/>
          <w:sz w:val="24"/>
          <w:szCs w:val="24"/>
          <w:highlight w:val="none"/>
        </w:rPr>
        <w:t>必须是正规企业生产的。</w:t>
      </w:r>
    </w:p>
    <w:p w14:paraId="62764659">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乙方提供产品必须是乙方所投标产品的最新产品，且经过国家法定部门办理正常生产、流通审批手续。</w:t>
      </w:r>
    </w:p>
    <w:p w14:paraId="0CB773F4">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w:t>
      </w:r>
      <w:r>
        <w:rPr>
          <w:rFonts w:hint="eastAsia" w:ascii="宋体" w:hAnsi="宋体" w:eastAsia="宋体" w:cs="宋体"/>
          <w:color w:val="auto"/>
          <w:sz w:val="24"/>
          <w:szCs w:val="24"/>
          <w:highlight w:val="none"/>
          <w:lang w:val="en-US" w:eastAsia="zh-CN"/>
        </w:rPr>
        <w:t>食材</w:t>
      </w:r>
      <w:r>
        <w:rPr>
          <w:rFonts w:hint="eastAsia" w:ascii="宋体" w:hAnsi="宋体" w:eastAsia="宋体" w:cs="宋体"/>
          <w:color w:val="auto"/>
          <w:sz w:val="24"/>
          <w:szCs w:val="24"/>
          <w:highlight w:val="none"/>
        </w:rPr>
        <w:t>是经过国家相关部门认可的检验或检测机构检验、注册、准许市场销售的合法产品。</w:t>
      </w:r>
    </w:p>
    <w:p w14:paraId="05F4B8A8">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产品质量保证措施完善，符合国家相关标准。</w:t>
      </w:r>
    </w:p>
    <w:p w14:paraId="159ADB05">
      <w:pPr>
        <w:keepNext w:val="0"/>
        <w:keepLines w:val="0"/>
        <w:pageBreakBefore w:val="0"/>
        <w:widowControl w:val="0"/>
        <w:numPr>
          <w:ilvl w:val="0"/>
          <w:numId w:val="3"/>
        </w:numPr>
        <w:kinsoku/>
        <w:wordWrap/>
        <w:overflowPunct/>
        <w:topLinePunct w:val="0"/>
        <w:bidi w:val="0"/>
        <w:spacing w:line="560" w:lineRule="exact"/>
        <w:ind w:left="-60" w:leftChars="0" w:right="0" w:rightChars="0" w:firstLine="48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产品的质保期符合国家标准。</w:t>
      </w:r>
    </w:p>
    <w:p w14:paraId="2C3E9189">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pacing w:val="10"/>
          <w:kern w:val="0"/>
          <w:sz w:val="24"/>
          <w:szCs w:val="24"/>
          <w:lang w:val="en-US" w:eastAsia="zh-CN" w:bidi="ar-SA"/>
        </w:rPr>
        <w:t>第</w:t>
      </w:r>
      <w:r>
        <w:rPr>
          <w:rFonts w:hint="eastAsia" w:ascii="宋体" w:hAnsi="宋体" w:cs="宋体"/>
          <w:bCs/>
          <w:color w:val="auto"/>
          <w:spacing w:val="10"/>
          <w:kern w:val="0"/>
          <w:sz w:val="24"/>
          <w:szCs w:val="24"/>
          <w:lang w:val="en-US" w:eastAsia="zh-CN" w:bidi="ar-SA"/>
        </w:rPr>
        <w:t>六</w:t>
      </w:r>
      <w:r>
        <w:rPr>
          <w:rFonts w:hint="eastAsia" w:ascii="宋体" w:hAnsi="宋体" w:eastAsia="宋体" w:cs="宋体"/>
          <w:bCs/>
          <w:color w:val="auto"/>
          <w:spacing w:val="10"/>
          <w:kern w:val="0"/>
          <w:sz w:val="24"/>
          <w:szCs w:val="24"/>
          <w:lang w:val="en-US" w:eastAsia="zh-CN" w:bidi="ar-SA"/>
        </w:rPr>
        <w:t>条</w:t>
      </w:r>
      <w:r>
        <w:rPr>
          <w:rFonts w:hint="eastAsia" w:ascii="宋体" w:hAnsi="宋体" w:cs="宋体"/>
          <w:bCs/>
          <w:color w:val="auto"/>
          <w:spacing w:val="10"/>
          <w:kern w:val="0"/>
          <w:sz w:val="24"/>
          <w:szCs w:val="24"/>
          <w:lang w:val="en-US" w:eastAsia="zh-CN" w:bidi="ar-SA"/>
        </w:rPr>
        <w:t xml:space="preserve"> </w:t>
      </w:r>
      <w:r>
        <w:rPr>
          <w:rFonts w:hint="eastAsia" w:ascii="宋体" w:hAnsi="宋体" w:eastAsia="宋体" w:cs="宋体"/>
          <w:color w:val="auto"/>
          <w:sz w:val="24"/>
          <w:szCs w:val="24"/>
          <w:highlight w:val="none"/>
          <w:lang w:val="en-US" w:eastAsia="zh-CN"/>
        </w:rPr>
        <w:t>验收要求和流程</w:t>
      </w:r>
    </w:p>
    <w:p w14:paraId="1AA1C4B9">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乙方完成</w:t>
      </w:r>
      <w:r>
        <w:rPr>
          <w:rFonts w:hint="eastAsia" w:ascii="宋体" w:hAnsi="宋体" w:eastAsia="宋体" w:cs="宋体"/>
          <w:color w:val="auto"/>
          <w:sz w:val="24"/>
          <w:szCs w:val="24"/>
          <w:highlight w:val="none"/>
          <w:lang w:val="en-US" w:eastAsia="zh-CN"/>
        </w:rPr>
        <w:t>食材配送</w:t>
      </w:r>
      <w:r>
        <w:rPr>
          <w:rFonts w:hint="eastAsia" w:ascii="宋体" w:hAnsi="宋体" w:eastAsia="宋体" w:cs="宋体"/>
          <w:color w:val="auto"/>
          <w:sz w:val="24"/>
          <w:szCs w:val="24"/>
          <w:highlight w:val="none"/>
        </w:rPr>
        <w:t>后，向甲方提出验收申请，甲方接到乙方验收申请</w:t>
      </w:r>
      <w:r>
        <w:rPr>
          <w:rFonts w:hint="eastAsia" w:ascii="宋体" w:hAnsi="宋体" w:eastAsia="宋体" w:cs="宋体"/>
          <w:color w:val="auto"/>
          <w:sz w:val="24"/>
          <w:szCs w:val="24"/>
          <w:highlight w:val="none"/>
          <w:lang w:val="en-US" w:eastAsia="zh-CN"/>
        </w:rPr>
        <w:t>同时</w:t>
      </w:r>
      <w:r>
        <w:rPr>
          <w:rFonts w:hint="eastAsia" w:ascii="宋体" w:hAnsi="宋体" w:eastAsia="宋体" w:cs="宋体"/>
          <w:color w:val="auto"/>
          <w:sz w:val="24"/>
          <w:szCs w:val="24"/>
          <w:highlight w:val="none"/>
        </w:rPr>
        <w:t>组织验收（必要时可</w:t>
      </w:r>
      <w:r>
        <w:rPr>
          <w:rFonts w:hint="eastAsia" w:ascii="宋体" w:hAnsi="宋体" w:eastAsia="宋体" w:cs="宋体"/>
          <w:color w:val="auto"/>
          <w:sz w:val="24"/>
          <w:szCs w:val="24"/>
          <w:highlight w:val="none"/>
          <w:lang w:val="en-US" w:eastAsia="zh-CN"/>
        </w:rPr>
        <w:t>组织</w:t>
      </w:r>
      <w:r>
        <w:rPr>
          <w:rFonts w:hint="eastAsia" w:ascii="宋体" w:hAnsi="宋体" w:eastAsia="宋体" w:cs="宋体"/>
          <w:color w:val="auto"/>
          <w:sz w:val="24"/>
          <w:szCs w:val="24"/>
          <w:highlight w:val="none"/>
        </w:rPr>
        <w:t>相应</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部门验收），验收合格后，出具验收</w:t>
      </w:r>
      <w:r>
        <w:rPr>
          <w:rFonts w:hint="eastAsia" w:ascii="宋体" w:hAnsi="宋体" w:eastAsia="宋体" w:cs="宋体"/>
          <w:color w:val="auto"/>
          <w:sz w:val="24"/>
          <w:szCs w:val="24"/>
          <w:highlight w:val="none"/>
          <w:lang w:val="en-US" w:eastAsia="zh-CN"/>
        </w:rPr>
        <w:t>单</w:t>
      </w:r>
      <w:r>
        <w:rPr>
          <w:rFonts w:hint="eastAsia" w:ascii="宋体" w:hAnsi="宋体" w:eastAsia="宋体" w:cs="宋体"/>
          <w:color w:val="auto"/>
          <w:sz w:val="24"/>
          <w:szCs w:val="24"/>
          <w:highlight w:val="none"/>
        </w:rPr>
        <w:t>。</w:t>
      </w:r>
    </w:p>
    <w:p w14:paraId="71D00718">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食材</w:t>
      </w:r>
      <w:r>
        <w:rPr>
          <w:rFonts w:hint="eastAsia" w:ascii="宋体" w:hAnsi="宋体" w:eastAsia="宋体" w:cs="宋体"/>
          <w:color w:val="auto"/>
          <w:sz w:val="24"/>
          <w:szCs w:val="24"/>
          <w:highlight w:val="none"/>
        </w:rPr>
        <w:t>验收结果</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作为款项结算</w:t>
      </w:r>
      <w:r>
        <w:rPr>
          <w:rFonts w:hint="eastAsia" w:ascii="宋体" w:hAnsi="宋体" w:cs="宋体"/>
          <w:color w:val="auto"/>
          <w:sz w:val="24"/>
          <w:szCs w:val="24"/>
          <w:highlight w:val="none"/>
          <w:lang w:val="en-US" w:eastAsia="zh-CN"/>
        </w:rPr>
        <w:t>依据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甲、</w:t>
      </w:r>
      <w:r>
        <w:rPr>
          <w:rFonts w:hint="eastAsia" w:ascii="宋体" w:hAnsi="宋体" w:eastAsia="宋体" w:cs="宋体"/>
          <w:color w:val="auto"/>
          <w:sz w:val="24"/>
          <w:szCs w:val="24"/>
          <w:highlight w:val="none"/>
        </w:rPr>
        <w:t>乙</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方填写验收单，并提交</w:t>
      </w:r>
      <w:r>
        <w:rPr>
          <w:rFonts w:hint="eastAsia" w:ascii="宋体" w:hAnsi="宋体" w:eastAsia="宋体" w:cs="宋体"/>
          <w:color w:val="auto"/>
          <w:sz w:val="24"/>
          <w:szCs w:val="24"/>
          <w:highlight w:val="none"/>
          <w:lang w:val="en-US" w:eastAsia="zh-CN"/>
        </w:rPr>
        <w:t>验收</w:t>
      </w:r>
      <w:r>
        <w:rPr>
          <w:rFonts w:hint="eastAsia" w:ascii="宋体" w:hAnsi="宋体" w:eastAsia="宋体" w:cs="宋体"/>
          <w:color w:val="auto"/>
          <w:sz w:val="24"/>
          <w:szCs w:val="24"/>
          <w:highlight w:val="none"/>
        </w:rPr>
        <w:t>过程中的所有资料，以便日后管理和维护。</w:t>
      </w:r>
    </w:p>
    <w:p w14:paraId="5734BF80">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合同期限</w:t>
      </w:r>
      <w:r>
        <w:rPr>
          <w:rFonts w:hint="eastAsia" w:ascii="宋体" w:hAnsi="宋体" w:eastAsia="宋体" w:cs="宋体"/>
          <w:color w:val="auto"/>
          <w:sz w:val="24"/>
          <w:szCs w:val="24"/>
          <w:highlight w:val="none"/>
        </w:rPr>
        <w:t>满后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由乙方</w:t>
      </w:r>
      <w:r>
        <w:rPr>
          <w:rFonts w:hint="eastAsia" w:ascii="宋体" w:hAnsi="宋体" w:eastAsia="宋体" w:cs="宋体"/>
          <w:color w:val="auto"/>
          <w:sz w:val="24"/>
          <w:szCs w:val="24"/>
          <w:highlight w:val="none"/>
          <w:lang w:val="en-US" w:eastAsia="zh-CN"/>
        </w:rPr>
        <w:t>出具服务报告</w:t>
      </w:r>
      <w:r>
        <w:rPr>
          <w:rFonts w:hint="eastAsia" w:ascii="宋体" w:hAnsi="宋体" w:eastAsia="宋体" w:cs="宋体"/>
          <w:color w:val="auto"/>
          <w:sz w:val="24"/>
          <w:szCs w:val="24"/>
          <w:highlight w:val="none"/>
        </w:rPr>
        <w:t>，作为履约保证金</w:t>
      </w:r>
      <w:r>
        <w:rPr>
          <w:rFonts w:hint="eastAsia" w:ascii="宋体" w:hAnsi="宋体" w:eastAsia="宋体" w:cs="宋体"/>
          <w:color w:val="auto"/>
          <w:sz w:val="24"/>
          <w:szCs w:val="24"/>
          <w:highlight w:val="none"/>
          <w:lang w:val="en-US" w:eastAsia="zh-CN"/>
        </w:rPr>
        <w:t>返还</w:t>
      </w:r>
      <w:r>
        <w:rPr>
          <w:rFonts w:hint="eastAsia" w:ascii="宋体" w:hAnsi="宋体" w:eastAsia="宋体" w:cs="宋体"/>
          <w:color w:val="auto"/>
          <w:sz w:val="24"/>
          <w:szCs w:val="24"/>
          <w:highlight w:val="none"/>
        </w:rPr>
        <w:t>依据，若存在质量问题，应按相应规定协商处理。</w:t>
      </w:r>
    </w:p>
    <w:p w14:paraId="517C94AF">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采购单、配送单、验收单及</w:t>
      </w:r>
      <w:r>
        <w:rPr>
          <w:rFonts w:hint="eastAsia" w:ascii="宋体" w:hAnsi="宋体" w:eastAsia="宋体" w:cs="宋体"/>
          <w:color w:val="auto"/>
          <w:sz w:val="24"/>
          <w:szCs w:val="24"/>
          <w:highlight w:val="none"/>
        </w:rPr>
        <w:t>国内相应的标准、规范。</w:t>
      </w:r>
    </w:p>
    <w:p w14:paraId="540FDC3C">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pacing w:val="10"/>
          <w:kern w:val="0"/>
          <w:sz w:val="24"/>
          <w:szCs w:val="24"/>
          <w:lang w:val="en-US" w:eastAsia="zh-CN" w:bidi="ar-SA"/>
        </w:rPr>
        <w:t>第</w:t>
      </w:r>
      <w:r>
        <w:rPr>
          <w:rFonts w:hint="eastAsia" w:ascii="宋体" w:hAnsi="宋体" w:cs="宋体"/>
          <w:bCs/>
          <w:color w:val="auto"/>
          <w:spacing w:val="10"/>
          <w:kern w:val="0"/>
          <w:sz w:val="24"/>
          <w:szCs w:val="24"/>
          <w:lang w:val="en-US" w:eastAsia="zh-CN" w:bidi="ar-SA"/>
        </w:rPr>
        <w:t>七</w:t>
      </w:r>
      <w:r>
        <w:rPr>
          <w:rFonts w:hint="eastAsia" w:ascii="宋体" w:hAnsi="宋体" w:eastAsia="宋体" w:cs="宋体"/>
          <w:bCs/>
          <w:color w:val="auto"/>
          <w:spacing w:val="10"/>
          <w:kern w:val="0"/>
          <w:sz w:val="24"/>
          <w:szCs w:val="24"/>
          <w:lang w:val="en-US" w:eastAsia="zh-CN" w:bidi="ar-SA"/>
        </w:rPr>
        <w:t>条</w:t>
      </w:r>
      <w:r>
        <w:rPr>
          <w:rFonts w:hint="eastAsia" w:ascii="宋体" w:hAnsi="宋体" w:cs="宋体"/>
          <w:bCs/>
          <w:color w:val="auto"/>
          <w:spacing w:val="10"/>
          <w:kern w:val="0"/>
          <w:sz w:val="24"/>
          <w:szCs w:val="24"/>
          <w:lang w:val="en-US" w:eastAsia="zh-CN" w:bidi="ar-SA"/>
        </w:rPr>
        <w:t xml:space="preserve"> </w:t>
      </w:r>
      <w:r>
        <w:rPr>
          <w:rFonts w:hint="eastAsia" w:ascii="宋体" w:hAnsi="宋体" w:eastAsia="宋体" w:cs="宋体"/>
          <w:color w:val="auto"/>
          <w:sz w:val="24"/>
          <w:szCs w:val="24"/>
          <w:highlight w:val="none"/>
          <w:lang w:val="en-US" w:eastAsia="zh-CN"/>
        </w:rPr>
        <w:t>服务承诺</w:t>
      </w:r>
    </w:p>
    <w:p w14:paraId="5CDD0FD8">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乙方需派一名项目经理，直接与甲方沟通，负责每次供货现场的监督和协调工作，项目经理接收甲方提出的问题与要求，并及时向公司申请调动资源，解决在项目实施过程中遇到的问题。</w:t>
      </w:r>
    </w:p>
    <w:p w14:paraId="40A496E7">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实施过程中会出现不可预料的需求变更，乙方需积极配合甲方的需求变更。</w:t>
      </w:r>
    </w:p>
    <w:p w14:paraId="07642830">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乙方人员必须掌握餐饮业常用食品卫生法规定、食品卫生基本知识和感官鉴别常识：</w:t>
      </w:r>
    </w:p>
    <w:p w14:paraId="536CD9AC">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产品一般卫生状况、产品合格证明和产品标识是否符合国家相关法律、法规的规定。</w:t>
      </w:r>
    </w:p>
    <w:p w14:paraId="26E602E8">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乙方向甲方提供的食材，应全部符合国家规定的产品质量要求。必须提供卫生许可证、生产日期、生产许可证、产品合格证、产品必须贴有质监局合格标签。</w:t>
      </w:r>
      <w:r>
        <w:rPr>
          <w:rFonts w:hint="eastAsia" w:ascii="宋体" w:hAnsi="宋体" w:eastAsia="宋体" w:cs="宋体"/>
          <w:color w:val="auto"/>
          <w:sz w:val="24"/>
          <w:szCs w:val="24"/>
          <w:highlight w:val="none"/>
          <w:lang w:val="en-US" w:eastAsia="zh-CN"/>
        </w:rPr>
        <w:t>并符合法定条件的检验机构出具的检验合格报告或者由供货商签字（盖章）的检验报告复印件。</w:t>
      </w:r>
    </w:p>
    <w:p w14:paraId="2888665C">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从固定供货商或供货基地采购原材料或商品，应索取并留存供货基地或供货商的资质证明，并保证食品卫生质量。</w:t>
      </w:r>
    </w:p>
    <w:p w14:paraId="692DCA8C">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乙方保证按甲方送货要求、送货地点、送货时间交送货物。</w:t>
      </w:r>
    </w:p>
    <w:p w14:paraId="7F855180">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供货期间应固定专人送交货物，不得随意调整，</w:t>
      </w:r>
      <w:r>
        <w:rPr>
          <w:rFonts w:hint="eastAsia" w:ascii="宋体" w:hAnsi="宋体" w:eastAsia="宋体" w:cs="宋体"/>
          <w:color w:val="auto"/>
          <w:sz w:val="24"/>
          <w:szCs w:val="24"/>
          <w:highlight w:val="none"/>
          <w:lang w:val="en-US" w:eastAsia="zh-CN"/>
        </w:rPr>
        <w:t>供</w:t>
      </w:r>
      <w:r>
        <w:rPr>
          <w:rFonts w:hint="eastAsia" w:ascii="宋体" w:hAnsi="宋体" w:eastAsia="宋体" w:cs="宋体"/>
          <w:color w:val="auto"/>
          <w:sz w:val="24"/>
          <w:szCs w:val="24"/>
          <w:highlight w:val="none"/>
        </w:rPr>
        <w:t>货人员年龄不得超过50周岁。</w:t>
      </w:r>
    </w:p>
    <w:p w14:paraId="3FF07E70">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供货期间乙方必须同时满足甲方所管辖范围内餐厅送货、验收时间</w:t>
      </w:r>
      <w:r>
        <w:rPr>
          <w:rFonts w:hint="eastAsia" w:ascii="宋体" w:hAnsi="宋体" w:eastAsia="宋体" w:cs="宋体"/>
          <w:color w:val="auto"/>
          <w:sz w:val="24"/>
          <w:szCs w:val="24"/>
          <w:highlight w:val="none"/>
          <w:lang w:val="en-US" w:eastAsia="zh-CN"/>
        </w:rPr>
        <w:t>。</w:t>
      </w:r>
    </w:p>
    <w:p w14:paraId="1A42C25E">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pacing w:val="10"/>
          <w:kern w:val="0"/>
          <w:sz w:val="24"/>
          <w:szCs w:val="24"/>
          <w:lang w:val="en-US" w:eastAsia="zh-CN" w:bidi="ar-SA"/>
        </w:rPr>
        <w:t>第</w:t>
      </w:r>
      <w:r>
        <w:rPr>
          <w:rFonts w:hint="eastAsia" w:ascii="宋体" w:hAnsi="宋体" w:cs="宋体"/>
          <w:b w:val="0"/>
          <w:bCs/>
          <w:color w:val="auto"/>
          <w:spacing w:val="10"/>
          <w:kern w:val="0"/>
          <w:sz w:val="24"/>
          <w:szCs w:val="24"/>
          <w:lang w:val="en-US" w:eastAsia="zh-CN" w:bidi="ar-SA"/>
        </w:rPr>
        <w:t>八</w:t>
      </w:r>
      <w:r>
        <w:rPr>
          <w:rFonts w:hint="eastAsia" w:ascii="宋体" w:hAnsi="宋体" w:eastAsia="宋体" w:cs="宋体"/>
          <w:b w:val="0"/>
          <w:bCs/>
          <w:color w:val="auto"/>
          <w:spacing w:val="10"/>
          <w:kern w:val="0"/>
          <w:sz w:val="24"/>
          <w:szCs w:val="24"/>
          <w:lang w:val="en-US" w:eastAsia="zh-CN" w:bidi="ar-SA"/>
        </w:rPr>
        <w:t>条</w:t>
      </w:r>
      <w:r>
        <w:rPr>
          <w:rFonts w:hint="eastAsia" w:ascii="宋体" w:hAnsi="宋体" w:cs="宋体"/>
          <w:b w:val="0"/>
          <w:bCs/>
          <w:color w:val="auto"/>
          <w:spacing w:val="10"/>
          <w:kern w:val="0"/>
          <w:sz w:val="24"/>
          <w:szCs w:val="24"/>
          <w:lang w:val="en-US" w:eastAsia="zh-CN" w:bidi="ar-SA"/>
        </w:rPr>
        <w:t xml:space="preserve"> </w:t>
      </w:r>
      <w:r>
        <w:rPr>
          <w:rFonts w:hint="eastAsia" w:ascii="宋体" w:hAnsi="宋体" w:eastAsia="宋体" w:cs="宋体"/>
          <w:b w:val="0"/>
          <w:bCs/>
          <w:color w:val="auto"/>
          <w:sz w:val="24"/>
          <w:szCs w:val="24"/>
          <w:highlight w:val="none"/>
          <w:lang w:val="en-US" w:eastAsia="zh-CN"/>
        </w:rPr>
        <w:t>双方权利及义务</w:t>
      </w:r>
    </w:p>
    <w:p w14:paraId="46A55FC7">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乙方应依法与工作人员签订劳动合同、缴纳相应的保险及支付相应待遇等并承担所有法定义务，乙方工作人员在工作中发生的一切事故由乙方进行治疗与理赔，甲方不承担任何责任。</w:t>
      </w:r>
    </w:p>
    <w:p w14:paraId="328D99D5">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乙方送交的货物验收标准由甲方确定，且由甲方指定专人验收，若送达、提供的食材不符合甲方要求，甲方有权退货或要求乙方更换</w:t>
      </w:r>
      <w:r>
        <w:rPr>
          <w:rFonts w:hint="eastAsia" w:ascii="宋体" w:hAnsi="宋体" w:eastAsia="宋体" w:cs="宋体"/>
          <w:color w:val="auto"/>
          <w:sz w:val="24"/>
          <w:szCs w:val="24"/>
          <w:highlight w:val="none"/>
          <w:lang w:eastAsia="zh-CN"/>
        </w:rPr>
        <w:t>。如乙方事先未征得甲方同意并得到甲方的谅解而单方面延迟交货，将按违约终止合同。</w:t>
      </w:r>
    </w:p>
    <w:p w14:paraId="60241853">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在合同有效期内</w:t>
      </w:r>
      <w:r>
        <w:rPr>
          <w:rFonts w:hint="eastAsia" w:ascii="宋体" w:hAnsi="宋体" w:eastAsia="宋体" w:cs="宋体"/>
          <w:color w:val="auto"/>
          <w:sz w:val="24"/>
          <w:szCs w:val="24"/>
          <w:highlight w:val="none"/>
          <w:lang w:eastAsia="zh-CN"/>
        </w:rPr>
        <w:t>，如果乙方未按合同要求提供服务或不能满足技术要求，甲方会同监督机构、招标代理机构有权终止合同和对成交供应商违约行为进行追究，同时按招标投标法的有关规定进行相应的处罚。</w:t>
      </w:r>
    </w:p>
    <w:p w14:paraId="2C481EAB">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在合同有效期内，甲方对乙方实行动态管理，若有下述情况发生，甲方有权停止或解除乙方资格并</w:t>
      </w:r>
      <w:r>
        <w:rPr>
          <w:rFonts w:hint="eastAsia" w:ascii="宋体" w:hAnsi="宋体" w:eastAsia="宋体" w:cs="宋体"/>
          <w:color w:val="auto"/>
          <w:sz w:val="24"/>
          <w:szCs w:val="24"/>
          <w:highlight w:val="none"/>
          <w:lang w:eastAsia="zh-Hans"/>
        </w:rPr>
        <w:t>要求乙方支付</w:t>
      </w:r>
      <w:r>
        <w:rPr>
          <w:rFonts w:hint="eastAsia" w:ascii="宋体" w:hAnsi="宋体" w:eastAsia="宋体" w:cs="宋体"/>
          <w:color w:val="auto"/>
          <w:sz w:val="24"/>
          <w:szCs w:val="24"/>
          <w:highlight w:val="none"/>
          <w:lang w:val="en-US" w:eastAsia="zh-CN"/>
        </w:rPr>
        <w:t>当月支付</w:t>
      </w:r>
      <w:r>
        <w:rPr>
          <w:rFonts w:hint="eastAsia" w:ascii="宋体" w:hAnsi="宋体" w:eastAsia="宋体" w:cs="宋体"/>
          <w:color w:val="auto"/>
          <w:sz w:val="24"/>
          <w:szCs w:val="24"/>
          <w:highlight w:val="none"/>
          <w:lang w:eastAsia="zh-CN"/>
        </w:rPr>
        <w:t>金额的百分之</w:t>
      </w:r>
      <w:r>
        <w:rPr>
          <w:rFonts w:hint="eastAsia" w:ascii="宋体" w:hAnsi="宋体" w:eastAsia="宋体" w:cs="宋体"/>
          <w:color w:val="auto"/>
          <w:sz w:val="24"/>
          <w:szCs w:val="24"/>
          <w:highlight w:val="none"/>
          <w:lang w:val="en-US" w:eastAsia="zh-CN"/>
        </w:rPr>
        <w:t>二十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Hans"/>
        </w:rPr>
        <w:t>违约金，不足以弥补甲方损失的应予补足：</w:t>
      </w:r>
    </w:p>
    <w:p w14:paraId="5040AA38">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供货单位未能完全响应报价标准、货品品质、送货时间等相关要求的；</w:t>
      </w:r>
    </w:p>
    <w:p w14:paraId="78CC35F7">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隐瞒、超越本企业营业执照范围供货或以其他企业代供货物的；</w:t>
      </w:r>
    </w:p>
    <w:p w14:paraId="1F5EDF72">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方有违反承诺价格、发生诉讼、投诉、以次充好、食品安全事故等情况，经查属实的；</w:t>
      </w:r>
    </w:p>
    <w:p w14:paraId="761E51C9">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甲方提出的要求需保质保量按时完成，拒不配合工作的；</w:t>
      </w:r>
    </w:p>
    <w:p w14:paraId="111FEE2A">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乙方完全遵守甲方各项管理制度及管理办法，包括本合同涉及的内容。</w:t>
      </w:r>
    </w:p>
    <w:p w14:paraId="373E212F">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pacing w:val="10"/>
          <w:kern w:val="0"/>
          <w:sz w:val="24"/>
          <w:szCs w:val="24"/>
          <w:lang w:val="en-US" w:eastAsia="zh-CN" w:bidi="ar-SA"/>
        </w:rPr>
        <w:t>第</w:t>
      </w:r>
      <w:r>
        <w:rPr>
          <w:rFonts w:hint="eastAsia" w:ascii="宋体" w:hAnsi="宋体" w:cs="宋体"/>
          <w:b w:val="0"/>
          <w:bCs/>
          <w:color w:val="auto"/>
          <w:spacing w:val="10"/>
          <w:kern w:val="0"/>
          <w:sz w:val="24"/>
          <w:szCs w:val="24"/>
          <w:lang w:val="en-US" w:eastAsia="zh-CN" w:bidi="ar-SA"/>
        </w:rPr>
        <w:t>九</w:t>
      </w:r>
      <w:r>
        <w:rPr>
          <w:rFonts w:hint="eastAsia" w:ascii="宋体" w:hAnsi="宋体" w:eastAsia="宋体" w:cs="宋体"/>
          <w:b w:val="0"/>
          <w:bCs/>
          <w:color w:val="auto"/>
          <w:spacing w:val="10"/>
          <w:kern w:val="0"/>
          <w:sz w:val="24"/>
          <w:szCs w:val="24"/>
          <w:lang w:val="en-US" w:eastAsia="zh-CN" w:bidi="ar-SA"/>
        </w:rPr>
        <w:t>条</w:t>
      </w:r>
      <w:r>
        <w:rPr>
          <w:rFonts w:hint="eastAsia" w:ascii="宋体" w:hAnsi="宋体" w:cs="宋体"/>
          <w:b w:val="0"/>
          <w:bCs/>
          <w:color w:val="auto"/>
          <w:spacing w:val="10"/>
          <w:kern w:val="0"/>
          <w:sz w:val="24"/>
          <w:szCs w:val="24"/>
          <w:lang w:val="en-US" w:eastAsia="zh-CN" w:bidi="ar-SA"/>
        </w:rPr>
        <w:t xml:space="preserve"> </w:t>
      </w:r>
      <w:r>
        <w:rPr>
          <w:rFonts w:hint="eastAsia" w:ascii="宋体" w:hAnsi="宋体" w:eastAsia="宋体" w:cs="宋体"/>
          <w:b w:val="0"/>
          <w:bCs/>
          <w:color w:val="auto"/>
          <w:sz w:val="24"/>
          <w:szCs w:val="24"/>
          <w:highlight w:val="none"/>
          <w:lang w:val="en-US" w:eastAsia="zh-CN"/>
        </w:rPr>
        <w:t>违约责任</w:t>
      </w:r>
    </w:p>
    <w:p w14:paraId="079FC4B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本合同履行期间，乙方违反合同义务，甲方有权立即解除合同，并</w:t>
      </w:r>
      <w:r>
        <w:rPr>
          <w:rFonts w:hint="eastAsia" w:ascii="宋体" w:hAnsi="宋体" w:eastAsia="宋体" w:cs="宋体"/>
          <w:color w:val="auto"/>
          <w:sz w:val="24"/>
          <w:szCs w:val="24"/>
          <w:highlight w:val="none"/>
          <w:lang w:eastAsia="zh-CN"/>
        </w:rPr>
        <w:t>要</w:t>
      </w:r>
      <w:r>
        <w:rPr>
          <w:rFonts w:hint="eastAsia" w:ascii="宋体" w:hAnsi="宋体" w:eastAsia="宋体" w:cs="宋体"/>
          <w:color w:val="auto"/>
          <w:sz w:val="24"/>
          <w:szCs w:val="24"/>
          <w:highlight w:val="none"/>
        </w:rPr>
        <w:t>求乙方赔偿因此造成的损失（包括但不限于甲方因维权而产生的诉讼费、公证费、律师费等一切经济损失）。</w:t>
      </w:r>
    </w:p>
    <w:p w14:paraId="2AC7B1C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如乙方因自身原因而造成甲方单方面解除合同的，甲方视为乙方完全认可甲方可另行选择其他供应商提供该项目的后续服务内容，并对此无任何异议。</w:t>
      </w:r>
    </w:p>
    <w:p w14:paraId="5320DE0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default"/>
          <w:color w:val="auto"/>
          <w:highlight w:val="none"/>
          <w:lang w:val="en-US" w:eastAsia="zh-CN"/>
        </w:rPr>
      </w:pPr>
      <w:r>
        <w:rPr>
          <w:rFonts w:hint="eastAsia" w:ascii="宋体" w:hAnsi="宋体" w:eastAsia="宋体" w:cs="宋体"/>
          <w:color w:val="auto"/>
          <w:sz w:val="24"/>
          <w:szCs w:val="24"/>
          <w:highlight w:val="none"/>
          <w:lang w:eastAsia="zh-CN"/>
        </w:rPr>
        <w:t>如本项目因乙方自身原因无法开展后续配送工作的，乙方必须于停止服务</w:t>
      </w:r>
      <w:r>
        <w:rPr>
          <w:rFonts w:hint="eastAsia" w:ascii="宋体" w:hAnsi="宋体" w:eastAsia="宋体" w:cs="宋体"/>
          <w:color w:val="auto"/>
          <w:sz w:val="24"/>
          <w:szCs w:val="24"/>
          <w:highlight w:val="none"/>
          <w:lang w:val="en-US" w:eastAsia="zh-CN"/>
        </w:rPr>
        <w:t>60天前向甲方递交书面报告，经与甲方友好协商同意后，乙方须按照甲方要求赔偿相应的经济损失后停止服务。如甲方因自身原因无法开展相关工作的，甲方将于30天前向乙方发送书面材料，经与乙方友好协商后停止服务工作。</w:t>
      </w:r>
    </w:p>
    <w:p w14:paraId="29252CB6">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pacing w:val="10"/>
          <w:kern w:val="0"/>
          <w:sz w:val="24"/>
          <w:szCs w:val="24"/>
          <w:lang w:val="en-US" w:eastAsia="zh-CN" w:bidi="ar-SA"/>
        </w:rPr>
        <w:t>第</w:t>
      </w:r>
      <w:r>
        <w:rPr>
          <w:rFonts w:hint="eastAsia" w:ascii="宋体" w:hAnsi="宋体" w:cs="宋体"/>
          <w:b w:val="0"/>
          <w:bCs/>
          <w:color w:val="auto"/>
          <w:spacing w:val="10"/>
          <w:kern w:val="0"/>
          <w:sz w:val="24"/>
          <w:szCs w:val="24"/>
          <w:lang w:val="en-US" w:eastAsia="zh-CN" w:bidi="ar-SA"/>
        </w:rPr>
        <w:t>十</w:t>
      </w:r>
      <w:r>
        <w:rPr>
          <w:rFonts w:hint="eastAsia" w:ascii="宋体" w:hAnsi="宋体" w:eastAsia="宋体" w:cs="宋体"/>
          <w:b w:val="0"/>
          <w:bCs/>
          <w:color w:val="auto"/>
          <w:spacing w:val="10"/>
          <w:kern w:val="0"/>
          <w:sz w:val="24"/>
          <w:szCs w:val="24"/>
          <w:lang w:val="en-US" w:eastAsia="zh-CN" w:bidi="ar-SA"/>
        </w:rPr>
        <w:t>条</w:t>
      </w:r>
      <w:r>
        <w:rPr>
          <w:rFonts w:hint="eastAsia" w:ascii="宋体" w:hAnsi="宋体" w:cs="宋体"/>
          <w:b w:val="0"/>
          <w:bCs/>
          <w:color w:val="auto"/>
          <w:spacing w:val="10"/>
          <w:kern w:val="0"/>
          <w:sz w:val="24"/>
          <w:szCs w:val="24"/>
          <w:lang w:val="en-US" w:eastAsia="zh-CN" w:bidi="ar-SA"/>
        </w:rPr>
        <w:t xml:space="preserve"> </w:t>
      </w:r>
      <w:r>
        <w:rPr>
          <w:rFonts w:hint="eastAsia" w:ascii="宋体" w:hAnsi="宋体" w:cs="宋体"/>
          <w:b w:val="0"/>
          <w:bCs/>
          <w:color w:val="auto"/>
          <w:sz w:val="24"/>
          <w:szCs w:val="24"/>
          <w:highlight w:val="none"/>
          <w:lang w:val="en-US" w:eastAsia="zh-CN"/>
        </w:rPr>
        <w:t>解约条款</w:t>
      </w:r>
    </w:p>
    <w:p w14:paraId="70CBB625">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right="0" w:rightChars="0" w:firstLine="520" w:firstLineChars="200"/>
        <w:jc w:val="left"/>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本合同履行期间</w:t>
      </w:r>
      <w:r>
        <w:rPr>
          <w:rFonts w:hint="eastAsia" w:ascii="宋体" w:hAnsi="宋体" w:cs="宋体"/>
          <w:b w:val="0"/>
          <w:bCs/>
          <w:color w:val="auto"/>
          <w:sz w:val="24"/>
          <w:szCs w:val="24"/>
          <w:highlight w:val="none"/>
          <w:lang w:val="en-US" w:eastAsia="zh-CN"/>
        </w:rPr>
        <w:t>无法继续履行甲乙双方协议后同意终止合同，原协议提前解除后，原协议约定的知识产权、保密条款等双方需严格保密。甲乙双方保证充分悉知解除条款与原协议全部内容，并自愿签订协议。</w:t>
      </w:r>
    </w:p>
    <w:p w14:paraId="6CD3B752">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pacing w:val="10"/>
          <w:kern w:val="0"/>
          <w:sz w:val="24"/>
          <w:szCs w:val="24"/>
          <w:lang w:val="en-US" w:eastAsia="zh-CN" w:bidi="ar-SA"/>
        </w:rPr>
        <w:t>第十</w:t>
      </w:r>
      <w:r>
        <w:rPr>
          <w:rFonts w:hint="eastAsia" w:ascii="宋体" w:hAnsi="宋体" w:cs="宋体"/>
          <w:b w:val="0"/>
          <w:bCs/>
          <w:color w:val="auto"/>
          <w:spacing w:val="10"/>
          <w:kern w:val="0"/>
          <w:sz w:val="24"/>
          <w:szCs w:val="24"/>
          <w:lang w:val="en-US" w:eastAsia="zh-CN" w:bidi="ar-SA"/>
        </w:rPr>
        <w:t>一</w:t>
      </w:r>
      <w:r>
        <w:rPr>
          <w:rFonts w:hint="eastAsia" w:ascii="宋体" w:hAnsi="宋体" w:eastAsia="宋体" w:cs="宋体"/>
          <w:b w:val="0"/>
          <w:bCs/>
          <w:color w:val="auto"/>
          <w:spacing w:val="10"/>
          <w:kern w:val="0"/>
          <w:sz w:val="24"/>
          <w:szCs w:val="24"/>
          <w:lang w:val="en-US" w:eastAsia="zh-CN" w:bidi="ar-SA"/>
        </w:rPr>
        <w:t>条</w:t>
      </w:r>
      <w:r>
        <w:rPr>
          <w:rFonts w:hint="eastAsia" w:ascii="宋体" w:hAnsi="宋体" w:cs="宋体"/>
          <w:b w:val="0"/>
          <w:bCs/>
          <w:color w:val="auto"/>
          <w:spacing w:val="10"/>
          <w:kern w:val="0"/>
          <w:sz w:val="24"/>
          <w:szCs w:val="24"/>
          <w:lang w:val="en-US" w:eastAsia="zh-CN" w:bidi="ar-SA"/>
        </w:rPr>
        <w:t xml:space="preserve"> </w:t>
      </w:r>
      <w:r>
        <w:rPr>
          <w:rFonts w:hint="eastAsia" w:ascii="宋体" w:hAnsi="宋体" w:eastAsia="宋体" w:cs="宋体"/>
          <w:b w:val="0"/>
          <w:bCs/>
          <w:color w:val="auto"/>
          <w:sz w:val="24"/>
          <w:szCs w:val="24"/>
          <w:highlight w:val="none"/>
          <w:lang w:val="en-US" w:eastAsia="zh-CN"/>
        </w:rPr>
        <w:t>争议解决方式</w:t>
      </w:r>
    </w:p>
    <w:p w14:paraId="3B8109E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凡因本合同引起的或与本合同有关的争议，双方应友好协商解决。协商不成时，甲、乙双方均同意向（甲方所在地人民法院）提起诉讼。</w:t>
      </w:r>
    </w:p>
    <w:p w14:paraId="0E059113">
      <w:pPr>
        <w:pStyle w:val="14"/>
        <w:keepNext w:val="0"/>
        <w:keepLines w:val="0"/>
        <w:pageBreakBefore w:val="0"/>
        <w:widowControl w:val="0"/>
        <w:numPr>
          <w:ilvl w:val="0"/>
          <w:numId w:val="0"/>
        </w:numPr>
        <w:kinsoku/>
        <w:wordWrap/>
        <w:overflowPunct/>
        <w:topLinePunct w:val="0"/>
        <w:autoSpaceDE/>
        <w:autoSpaceDN/>
        <w:bidi w:val="0"/>
        <w:adjustRightInd/>
        <w:snapToGrid/>
        <w:spacing w:before="25" w:after="25" w:line="560" w:lineRule="exact"/>
        <w:ind w:left="0" w:leftChars="0" w:right="0" w:rightChars="0" w:firstLine="520" w:firstLineChars="200"/>
        <w:jc w:val="left"/>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pacing w:val="10"/>
          <w:kern w:val="0"/>
          <w:sz w:val="24"/>
          <w:szCs w:val="24"/>
          <w:lang w:val="en-US" w:eastAsia="zh-CN" w:bidi="ar-SA"/>
        </w:rPr>
        <w:t>第十</w:t>
      </w:r>
      <w:r>
        <w:rPr>
          <w:rFonts w:hint="eastAsia" w:ascii="宋体" w:hAnsi="宋体" w:cs="宋体"/>
          <w:b w:val="0"/>
          <w:bCs/>
          <w:color w:val="auto"/>
          <w:spacing w:val="10"/>
          <w:kern w:val="0"/>
          <w:sz w:val="24"/>
          <w:szCs w:val="24"/>
          <w:lang w:val="en-US" w:eastAsia="zh-CN" w:bidi="ar-SA"/>
        </w:rPr>
        <w:t>二</w:t>
      </w:r>
      <w:r>
        <w:rPr>
          <w:rFonts w:hint="eastAsia" w:ascii="宋体" w:hAnsi="宋体" w:eastAsia="宋体" w:cs="宋体"/>
          <w:b w:val="0"/>
          <w:bCs/>
          <w:color w:val="auto"/>
          <w:spacing w:val="10"/>
          <w:kern w:val="0"/>
          <w:sz w:val="24"/>
          <w:szCs w:val="24"/>
          <w:lang w:val="en-US" w:eastAsia="zh-CN" w:bidi="ar-SA"/>
        </w:rPr>
        <w:t>条</w:t>
      </w:r>
      <w:r>
        <w:rPr>
          <w:rFonts w:hint="eastAsia" w:ascii="宋体" w:hAnsi="宋体" w:cs="宋体"/>
          <w:b w:val="0"/>
          <w:bCs/>
          <w:color w:val="auto"/>
          <w:spacing w:val="10"/>
          <w:kern w:val="0"/>
          <w:sz w:val="24"/>
          <w:szCs w:val="24"/>
          <w:lang w:val="en-US" w:eastAsia="zh-CN" w:bidi="ar-SA"/>
        </w:rPr>
        <w:t xml:space="preserve"> </w:t>
      </w:r>
      <w:r>
        <w:rPr>
          <w:rFonts w:hint="eastAsia" w:ascii="宋体" w:hAnsi="宋体" w:eastAsia="宋体" w:cs="宋体"/>
          <w:b w:val="0"/>
          <w:bCs/>
          <w:color w:val="auto"/>
          <w:sz w:val="24"/>
          <w:szCs w:val="24"/>
          <w:highlight w:val="none"/>
          <w:lang w:val="en-US" w:eastAsia="zh-CN"/>
        </w:rPr>
        <w:t>合同生效</w:t>
      </w:r>
    </w:p>
    <w:p w14:paraId="3872B9A3">
      <w:pPr>
        <w:keepNext w:val="0"/>
        <w:keepLines w:val="0"/>
        <w:pageBreakBefore w:val="0"/>
        <w:widowControl w:val="0"/>
        <w:numPr>
          <w:ilvl w:val="0"/>
          <w:numId w:val="9"/>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合同未尽事宜、由甲、乙双方协商，作为合同补充，与原合同具有同等法律效力。</w:t>
      </w:r>
    </w:p>
    <w:p w14:paraId="69E3EBD6">
      <w:pPr>
        <w:keepNext w:val="0"/>
        <w:keepLines w:val="0"/>
        <w:pageBreakBefore w:val="0"/>
        <w:widowControl w:val="0"/>
        <w:numPr>
          <w:ilvl w:val="0"/>
          <w:numId w:val="9"/>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2本合同正本一式</w:t>
      </w:r>
      <w:r>
        <w:rPr>
          <w:rFonts w:hint="eastAsia" w:ascii="宋体" w:hAnsi="宋体" w:eastAsia="宋体" w:cs="宋体"/>
          <w:color w:val="auto"/>
          <w:sz w:val="24"/>
          <w:szCs w:val="24"/>
          <w:highlight w:val="none"/>
          <w:lang w:val="en-US" w:eastAsia="zh-CN"/>
        </w:rPr>
        <w:t>陆</w:t>
      </w:r>
      <w:r>
        <w:rPr>
          <w:rFonts w:hint="eastAsia" w:ascii="宋体" w:hAnsi="宋体" w:eastAsia="宋体" w:cs="宋体"/>
          <w:color w:val="auto"/>
          <w:sz w:val="24"/>
          <w:szCs w:val="24"/>
          <w:highlight w:val="none"/>
        </w:rPr>
        <w:t>份，甲方、乙方双方分别执</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向甲方相关部门</w:t>
      </w:r>
      <w:r>
        <w:rPr>
          <w:rFonts w:hint="eastAsia" w:ascii="宋体" w:hAnsi="宋体" w:eastAsia="宋体" w:cs="宋体"/>
          <w:color w:val="auto"/>
          <w:sz w:val="24"/>
          <w:szCs w:val="24"/>
          <w:highlight w:val="none"/>
        </w:rPr>
        <w:t>备案</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w:t>
      </w:r>
    </w:p>
    <w:p w14:paraId="67069CC0">
      <w:pPr>
        <w:keepNext w:val="0"/>
        <w:keepLines w:val="0"/>
        <w:pageBreakBefore w:val="0"/>
        <w:widowControl w:val="0"/>
        <w:numPr>
          <w:ilvl w:val="0"/>
          <w:numId w:val="9"/>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合同经甲乙双方盖章、签字</w:t>
      </w:r>
      <w:r>
        <w:rPr>
          <w:rFonts w:hint="eastAsia" w:ascii="宋体" w:hAnsi="宋体" w:eastAsia="宋体" w:cs="宋体"/>
          <w:color w:val="auto"/>
          <w:sz w:val="24"/>
          <w:szCs w:val="24"/>
          <w:highlight w:val="none"/>
          <w:lang w:val="en-US" w:eastAsia="zh-CN"/>
        </w:rPr>
        <w:t>之日起</w:t>
      </w:r>
      <w:r>
        <w:rPr>
          <w:rFonts w:hint="eastAsia" w:ascii="宋体" w:hAnsi="宋体" w:eastAsia="宋体" w:cs="宋体"/>
          <w:color w:val="auto"/>
          <w:sz w:val="24"/>
          <w:szCs w:val="24"/>
          <w:highlight w:val="none"/>
        </w:rPr>
        <w:t>生效</w:t>
      </w:r>
      <w:r>
        <w:rPr>
          <w:rFonts w:hint="eastAsia" w:ascii="宋体" w:hAnsi="宋体" w:eastAsia="宋体" w:cs="宋体"/>
          <w:color w:val="auto"/>
          <w:sz w:val="24"/>
          <w:szCs w:val="24"/>
          <w:highlight w:val="none"/>
          <w:lang w:eastAsia="zh-CN"/>
        </w:rPr>
        <w:t>。</w:t>
      </w:r>
    </w:p>
    <w:p w14:paraId="3A738B0E">
      <w:pPr>
        <w:keepNext w:val="0"/>
        <w:keepLines w:val="0"/>
        <w:pageBreakBefore w:val="0"/>
        <w:widowControl w:val="0"/>
        <w:numPr>
          <w:ilvl w:val="0"/>
          <w:numId w:val="9"/>
        </w:numPr>
        <w:kinsoku/>
        <w:wordWrap/>
        <w:overflowPunct/>
        <w:topLinePunct w:val="0"/>
        <w:autoSpaceDE/>
        <w:autoSpaceDN/>
        <w:bidi w:val="0"/>
        <w:adjustRightInd w:val="0"/>
        <w:snapToGrid w:val="0"/>
        <w:spacing w:line="560" w:lineRule="exact"/>
        <w:ind w:left="0" w:leftChars="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合同附件（仅供参考，根据实际情况进行调整）。</w:t>
      </w:r>
    </w:p>
    <w:p w14:paraId="0599FF4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40" w:leftChars="20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：《采购清单及出入库登记表》</w:t>
      </w:r>
    </w:p>
    <w:p w14:paraId="51262A5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40" w:leftChars="20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：《供应商考核办法》</w:t>
      </w:r>
    </w:p>
    <w:p w14:paraId="357140C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以下无正文</w:t>
      </w:r>
    </w:p>
    <w:p w14:paraId="439C5BC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本页为签署页</w:t>
      </w:r>
    </w:p>
    <w:p w14:paraId="40ABC1A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甲方(盖章)：</w:t>
      </w:r>
    </w:p>
    <w:p w14:paraId="30C4163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法定代表人/授权代表(签章)：</w:t>
      </w:r>
    </w:p>
    <w:p w14:paraId="6AF8DE3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签订时间：   年   月   日</w:t>
      </w:r>
    </w:p>
    <w:p w14:paraId="1486541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40" w:leftChars="20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p>
    <w:p w14:paraId="70E982D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40" w:leftChars="200" w:right="0" w:rightChars="0"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2C6A4AE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乙方(盖章)：</w:t>
      </w:r>
    </w:p>
    <w:p w14:paraId="09DD665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法定代表人/授权代表(签章)：</w:t>
      </w:r>
    </w:p>
    <w:p w14:paraId="3DBE18F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签订时间：   年   月   日</w:t>
      </w:r>
    </w:p>
    <w:p w14:paraId="40E7DD8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color w:val="auto"/>
          <w:sz w:val="24"/>
          <w:szCs w:val="24"/>
          <w:highlight w:val="none"/>
          <w:lang w:val="en-US" w:eastAsia="zh-CN"/>
        </w:rPr>
      </w:pPr>
    </w:p>
    <w:p w14:paraId="3B98F1D0">
      <w:pPr>
        <w:pStyle w:val="5"/>
        <w:outlineLvl w:val="9"/>
        <w:rPr>
          <w:rFonts w:hint="eastAsia" w:ascii="宋体" w:hAnsi="宋体" w:eastAsia="宋体" w:cs="宋体"/>
          <w:color w:val="auto"/>
          <w:sz w:val="24"/>
          <w:szCs w:val="24"/>
          <w:highlight w:val="none"/>
          <w:lang w:val="en-US" w:eastAsia="zh-CN"/>
        </w:rPr>
      </w:pPr>
    </w:p>
    <w:p w14:paraId="3DFD30B8">
      <w:pPr>
        <w:tabs>
          <w:tab w:val="left" w:pos="864"/>
        </w:tabs>
        <w:bidi w:val="0"/>
        <w:outlineLvl w:val="9"/>
        <w:rPr>
          <w:rFonts w:hint="eastAsia" w:ascii="宋体" w:hAnsi="宋体" w:eastAsia="宋体" w:cs="宋体"/>
          <w:color w:val="auto"/>
          <w:kern w:val="2"/>
          <w:sz w:val="24"/>
          <w:szCs w:val="24"/>
          <w:highlight w:val="none"/>
          <w:u w:val="none"/>
          <w:lang w:val="en-US" w:eastAsia="zh-CN" w:bidi="ar-SA"/>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30B39FBC">
      <w:pPr>
        <w:numPr>
          <w:ilvl w:val="0"/>
          <w:numId w:val="0"/>
        </w:numPr>
        <w:tabs>
          <w:tab w:val="left" w:pos="864"/>
        </w:tabs>
        <w:bidi w:val="0"/>
        <w:ind w:left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u w:val="none"/>
          <w:lang w:val="en-US" w:eastAsia="zh-CN" w:bidi="ar-SA"/>
        </w:rPr>
        <w:t>附件1：《采购清单及出入库登记表》</w:t>
      </w:r>
    </w:p>
    <w:tbl>
      <w:tblPr>
        <w:tblStyle w:val="10"/>
        <w:tblpPr w:leftFromText="180" w:rightFromText="180" w:vertAnchor="text" w:horzAnchor="page" w:tblpX="1394" w:tblpY="289"/>
        <w:tblOverlap w:val="never"/>
        <w:tblW w:w="92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7"/>
        <w:gridCol w:w="823"/>
        <w:gridCol w:w="744"/>
        <w:gridCol w:w="86"/>
        <w:gridCol w:w="1320"/>
        <w:gridCol w:w="660"/>
        <w:gridCol w:w="660"/>
        <w:gridCol w:w="407"/>
        <w:gridCol w:w="913"/>
        <w:gridCol w:w="1211"/>
        <w:gridCol w:w="109"/>
        <w:gridCol w:w="943"/>
        <w:gridCol w:w="378"/>
      </w:tblGrid>
      <w:tr w14:paraId="5D145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241" w:type="dxa"/>
            <w:gridSpan w:val="13"/>
            <w:tcBorders>
              <w:top w:val="nil"/>
              <w:left w:val="nil"/>
              <w:bottom w:val="nil"/>
              <w:right w:val="nil"/>
            </w:tcBorders>
            <w:noWrap w:val="0"/>
            <w:vAlign w:val="center"/>
          </w:tcPr>
          <w:p w14:paraId="156AD1A0">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**食材采购及出入库登记表</w:t>
            </w:r>
          </w:p>
        </w:tc>
      </w:tr>
      <w:tr w14:paraId="725AF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620" w:type="dxa"/>
            <w:gridSpan w:val="6"/>
            <w:tcBorders>
              <w:top w:val="single" w:color="000000" w:sz="4" w:space="0"/>
              <w:left w:val="single" w:color="000000" w:sz="4" w:space="0"/>
              <w:bottom w:val="single" w:color="000000" w:sz="4" w:space="0"/>
              <w:right w:val="nil"/>
            </w:tcBorders>
            <w:noWrap w:val="0"/>
            <w:vAlign w:val="center"/>
          </w:tcPr>
          <w:p w14:paraId="0096C9A9">
            <w:pPr>
              <w:keepNext w:val="0"/>
              <w:keepLines w:val="0"/>
              <w:widowControl/>
              <w:suppressLineNumbers w:val="0"/>
              <w:jc w:val="left"/>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供货商：</w:t>
            </w:r>
          </w:p>
        </w:tc>
        <w:tc>
          <w:tcPr>
            <w:tcW w:w="4621" w:type="dxa"/>
            <w:gridSpan w:val="7"/>
            <w:tcBorders>
              <w:top w:val="single" w:color="000000" w:sz="4" w:space="0"/>
              <w:left w:val="nil"/>
              <w:bottom w:val="single" w:color="000000" w:sz="4" w:space="0"/>
              <w:right w:val="single" w:color="000000" w:sz="4" w:space="0"/>
            </w:tcBorders>
            <w:noWrap w:val="0"/>
            <w:vAlign w:val="center"/>
          </w:tcPr>
          <w:p w14:paraId="08A19573">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 xml:space="preserve">                                         日期：年  月  日</w:t>
            </w:r>
          </w:p>
        </w:tc>
      </w:tr>
      <w:tr w14:paraId="33CE4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0928CED">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序号</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2ACEDF51">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名称</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F15C1A4">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单位</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77D66B16">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规格</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0CAAB038">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申购量</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414C2BF4">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实收量</w:t>
            </w: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60D18559">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备注</w:t>
            </w:r>
          </w:p>
        </w:tc>
      </w:tr>
      <w:tr w14:paraId="5A977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241" w:type="dxa"/>
            <w:gridSpan w:val="13"/>
            <w:tcBorders>
              <w:top w:val="single" w:color="000000" w:sz="4" w:space="0"/>
              <w:left w:val="single" w:color="000000" w:sz="4" w:space="0"/>
              <w:bottom w:val="single" w:color="000000" w:sz="4" w:space="0"/>
              <w:right w:val="single" w:color="000000" w:sz="4" w:space="0"/>
            </w:tcBorders>
            <w:noWrap w:val="0"/>
            <w:vAlign w:val="center"/>
          </w:tcPr>
          <w:p w14:paraId="78F01C9E">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**类</w:t>
            </w:r>
          </w:p>
        </w:tc>
      </w:tr>
      <w:tr w14:paraId="7C96F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7F31897D">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7A59460E">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nil"/>
              <w:left w:val="single" w:color="000000" w:sz="4" w:space="0"/>
              <w:bottom w:val="single" w:color="000000" w:sz="4" w:space="0"/>
              <w:right w:val="single" w:color="000000" w:sz="4" w:space="0"/>
            </w:tcBorders>
            <w:noWrap w:val="0"/>
            <w:vAlign w:val="center"/>
          </w:tcPr>
          <w:p w14:paraId="50F8949C">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7DF46365">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4BE2CF6A">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63F11E36">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29893306">
            <w:pPr>
              <w:jc w:val="center"/>
              <w:outlineLvl w:val="9"/>
              <w:rPr>
                <w:rFonts w:hint="eastAsia" w:ascii="宋体" w:hAnsi="宋体" w:eastAsia="宋体" w:cs="宋体"/>
                <w:b w:val="0"/>
                <w:bCs w:val="0"/>
                <w:i w:val="0"/>
                <w:iCs w:val="0"/>
                <w:color w:val="auto"/>
                <w:sz w:val="24"/>
                <w:szCs w:val="24"/>
                <w:highlight w:val="none"/>
                <w:u w:val="none"/>
              </w:rPr>
            </w:pPr>
          </w:p>
        </w:tc>
      </w:tr>
      <w:tr w14:paraId="77DA6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E3B7A9A">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0C90B5EE">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00DB9BF">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32450CAB">
            <w:pPr>
              <w:jc w:val="left"/>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7B2E9395">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4DE6AA0A">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471322D7">
            <w:pPr>
              <w:jc w:val="center"/>
              <w:outlineLvl w:val="9"/>
              <w:rPr>
                <w:rFonts w:hint="eastAsia" w:ascii="宋体" w:hAnsi="宋体" w:eastAsia="宋体" w:cs="宋体"/>
                <w:b w:val="0"/>
                <w:bCs w:val="0"/>
                <w:i w:val="0"/>
                <w:iCs w:val="0"/>
                <w:color w:val="auto"/>
                <w:sz w:val="24"/>
                <w:szCs w:val="24"/>
                <w:highlight w:val="none"/>
                <w:u w:val="none"/>
              </w:rPr>
            </w:pPr>
          </w:p>
        </w:tc>
      </w:tr>
      <w:tr w14:paraId="33285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241" w:type="dxa"/>
            <w:gridSpan w:val="13"/>
            <w:tcBorders>
              <w:top w:val="single" w:color="000000" w:sz="4" w:space="0"/>
              <w:left w:val="single" w:color="000000" w:sz="4" w:space="0"/>
              <w:bottom w:val="single" w:color="000000" w:sz="4" w:space="0"/>
              <w:right w:val="single" w:color="000000" w:sz="4" w:space="0"/>
            </w:tcBorders>
            <w:noWrap w:val="0"/>
            <w:vAlign w:val="center"/>
          </w:tcPr>
          <w:p w14:paraId="174AE8D6">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**类</w:t>
            </w:r>
          </w:p>
        </w:tc>
      </w:tr>
      <w:tr w14:paraId="26136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164E11C8">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3</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027F9980">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40C2EE67">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0170BA98">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033FD2E2">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24C9A8F7">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625F0FD8">
            <w:pPr>
              <w:jc w:val="center"/>
              <w:outlineLvl w:val="9"/>
              <w:rPr>
                <w:rFonts w:hint="eastAsia" w:ascii="宋体" w:hAnsi="宋体" w:eastAsia="宋体" w:cs="宋体"/>
                <w:b w:val="0"/>
                <w:bCs w:val="0"/>
                <w:i w:val="0"/>
                <w:iCs w:val="0"/>
                <w:color w:val="auto"/>
                <w:sz w:val="24"/>
                <w:szCs w:val="24"/>
                <w:highlight w:val="none"/>
                <w:u w:val="none"/>
              </w:rPr>
            </w:pPr>
          </w:p>
        </w:tc>
      </w:tr>
      <w:tr w14:paraId="24EEB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77F88E81">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679891D4">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56642AF">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06200566">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62850D43">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43519F89">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203C0EDC">
            <w:pPr>
              <w:jc w:val="center"/>
              <w:outlineLvl w:val="9"/>
              <w:rPr>
                <w:rFonts w:hint="eastAsia" w:ascii="宋体" w:hAnsi="宋体" w:eastAsia="宋体" w:cs="宋体"/>
                <w:b w:val="0"/>
                <w:bCs w:val="0"/>
                <w:i w:val="0"/>
                <w:iCs w:val="0"/>
                <w:color w:val="auto"/>
                <w:sz w:val="24"/>
                <w:szCs w:val="24"/>
                <w:highlight w:val="none"/>
                <w:u w:val="none"/>
              </w:rPr>
            </w:pPr>
          </w:p>
        </w:tc>
      </w:tr>
      <w:tr w14:paraId="1621E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241" w:type="dxa"/>
            <w:gridSpan w:val="13"/>
            <w:tcBorders>
              <w:top w:val="single" w:color="000000" w:sz="4" w:space="0"/>
              <w:left w:val="single" w:color="000000" w:sz="4" w:space="0"/>
              <w:bottom w:val="single" w:color="000000" w:sz="4" w:space="0"/>
              <w:right w:val="single" w:color="000000" w:sz="4" w:space="0"/>
            </w:tcBorders>
            <w:noWrap w:val="0"/>
            <w:vAlign w:val="center"/>
          </w:tcPr>
          <w:p w14:paraId="7CA9042A">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**类</w:t>
            </w:r>
          </w:p>
        </w:tc>
      </w:tr>
      <w:tr w14:paraId="16CD0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F2CE8FC">
            <w:pPr>
              <w:keepNext w:val="0"/>
              <w:keepLines w:val="0"/>
              <w:widowControl/>
              <w:suppressLineNumbers w:val="0"/>
              <w:jc w:val="center"/>
              <w:textAlignment w:val="center"/>
              <w:outlineLvl w:val="9"/>
              <w:rPr>
                <w:rFonts w:hint="default" w:ascii="宋体" w:hAnsi="宋体" w:eastAsia="宋体" w:cs="宋体"/>
                <w:b w:val="0"/>
                <w:bCs w:val="0"/>
                <w:i w:val="0"/>
                <w:iCs w:val="0"/>
                <w:color w:val="auto"/>
                <w:sz w:val="24"/>
                <w:szCs w:val="24"/>
                <w:highlight w:val="none"/>
                <w:u w:val="none"/>
                <w:lang w:val="en-US"/>
              </w:rPr>
            </w:pPr>
            <w:r>
              <w:rPr>
                <w:rFonts w:hint="eastAsia" w:ascii="宋体" w:hAnsi="宋体" w:cs="宋体"/>
                <w:b w:val="0"/>
                <w:bCs w:val="0"/>
                <w:i w:val="0"/>
                <w:iCs w:val="0"/>
                <w:color w:val="auto"/>
                <w:kern w:val="0"/>
                <w:sz w:val="24"/>
                <w:szCs w:val="24"/>
                <w:highlight w:val="none"/>
                <w:u w:val="none"/>
                <w:lang w:val="en-US" w:eastAsia="zh-CN" w:bidi="ar"/>
              </w:rPr>
              <w:t>...</w:t>
            </w:r>
          </w:p>
        </w:tc>
        <w:tc>
          <w:tcPr>
            <w:tcW w:w="1653" w:type="dxa"/>
            <w:gridSpan w:val="3"/>
            <w:tcBorders>
              <w:top w:val="nil"/>
              <w:left w:val="single" w:color="000000" w:sz="4" w:space="0"/>
              <w:bottom w:val="single" w:color="000000" w:sz="4" w:space="0"/>
              <w:right w:val="single" w:color="000000" w:sz="4" w:space="0"/>
            </w:tcBorders>
            <w:noWrap w:val="0"/>
            <w:vAlign w:val="center"/>
          </w:tcPr>
          <w:p w14:paraId="315D781B">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nil"/>
              <w:left w:val="single" w:color="000000" w:sz="4" w:space="0"/>
              <w:bottom w:val="single" w:color="000000" w:sz="4" w:space="0"/>
              <w:right w:val="single" w:color="000000" w:sz="4" w:space="0"/>
            </w:tcBorders>
            <w:noWrap w:val="0"/>
            <w:vAlign w:val="center"/>
          </w:tcPr>
          <w:p w14:paraId="3528E2FC">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nil"/>
              <w:left w:val="single" w:color="000000" w:sz="4" w:space="0"/>
              <w:bottom w:val="single" w:color="000000" w:sz="4" w:space="0"/>
              <w:right w:val="nil"/>
            </w:tcBorders>
            <w:noWrap w:val="0"/>
            <w:vAlign w:val="center"/>
          </w:tcPr>
          <w:p w14:paraId="1D68BAC5">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6C0F6C48">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4A78AB1F">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7BC88B21">
            <w:pPr>
              <w:jc w:val="center"/>
              <w:outlineLvl w:val="9"/>
              <w:rPr>
                <w:rFonts w:hint="eastAsia" w:ascii="宋体" w:hAnsi="宋体" w:eastAsia="宋体" w:cs="宋体"/>
                <w:b w:val="0"/>
                <w:bCs w:val="0"/>
                <w:i w:val="0"/>
                <w:iCs w:val="0"/>
                <w:color w:val="auto"/>
                <w:sz w:val="24"/>
                <w:szCs w:val="24"/>
                <w:highlight w:val="none"/>
                <w:u w:val="none"/>
              </w:rPr>
            </w:pPr>
          </w:p>
        </w:tc>
      </w:tr>
      <w:tr w14:paraId="6F84D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9F4A2C3">
            <w:pPr>
              <w:keepNext w:val="0"/>
              <w:keepLines w:val="0"/>
              <w:widowControl/>
              <w:suppressLineNumbers w:val="0"/>
              <w:jc w:val="center"/>
              <w:textAlignment w:val="center"/>
              <w:outlineLvl w:val="9"/>
              <w:rPr>
                <w:rFonts w:hint="default" w:ascii="宋体" w:hAnsi="宋体" w:eastAsia="宋体" w:cs="宋体"/>
                <w:b w:val="0"/>
                <w:bCs w:val="0"/>
                <w:i w:val="0"/>
                <w:iCs w:val="0"/>
                <w:color w:val="auto"/>
                <w:sz w:val="24"/>
                <w:szCs w:val="24"/>
                <w:highlight w:val="none"/>
                <w:u w:val="none"/>
                <w:lang w:val="en-US"/>
              </w:rPr>
            </w:pPr>
            <w:r>
              <w:rPr>
                <w:rFonts w:hint="eastAsia" w:ascii="宋体" w:hAnsi="宋体" w:cs="宋体"/>
                <w:b w:val="0"/>
                <w:bCs w:val="0"/>
                <w:i w:val="0"/>
                <w:iCs w:val="0"/>
                <w:color w:val="auto"/>
                <w:kern w:val="0"/>
                <w:sz w:val="24"/>
                <w:szCs w:val="24"/>
                <w:highlight w:val="none"/>
                <w:u w:val="none"/>
                <w:lang w:val="en-US" w:eastAsia="zh-CN" w:bidi="ar"/>
              </w:rPr>
              <w:t>...</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0E82565E">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9D40217">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0F80802B">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5D26BFDA">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26EE3AAD">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18458E0A">
            <w:pPr>
              <w:jc w:val="center"/>
              <w:outlineLvl w:val="9"/>
              <w:rPr>
                <w:rFonts w:hint="eastAsia" w:ascii="宋体" w:hAnsi="宋体" w:eastAsia="宋体" w:cs="宋体"/>
                <w:b w:val="0"/>
                <w:bCs w:val="0"/>
                <w:i w:val="0"/>
                <w:iCs w:val="0"/>
                <w:color w:val="auto"/>
                <w:sz w:val="24"/>
                <w:szCs w:val="24"/>
                <w:highlight w:val="none"/>
                <w:u w:val="none"/>
              </w:rPr>
            </w:pPr>
          </w:p>
        </w:tc>
      </w:tr>
      <w:tr w14:paraId="2C41E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4D8927CE">
            <w:pPr>
              <w:keepNext w:val="0"/>
              <w:keepLines w:val="0"/>
              <w:widowControl/>
              <w:suppressLineNumbers w:val="0"/>
              <w:jc w:val="center"/>
              <w:textAlignment w:val="center"/>
              <w:outlineLvl w:val="9"/>
              <w:rPr>
                <w:rFonts w:hint="default" w:ascii="宋体" w:hAnsi="宋体" w:eastAsia="宋体" w:cs="宋体"/>
                <w:b w:val="0"/>
                <w:bCs w:val="0"/>
                <w:i w:val="0"/>
                <w:iCs w:val="0"/>
                <w:color w:val="auto"/>
                <w:sz w:val="24"/>
                <w:szCs w:val="24"/>
                <w:highlight w:val="none"/>
                <w:u w:val="none"/>
                <w:lang w:val="en-US"/>
              </w:rPr>
            </w:pPr>
            <w:r>
              <w:rPr>
                <w:rFonts w:hint="eastAsia" w:ascii="宋体" w:hAnsi="宋体" w:cs="宋体"/>
                <w:b w:val="0"/>
                <w:bCs w:val="0"/>
                <w:i w:val="0"/>
                <w:iCs w:val="0"/>
                <w:color w:val="auto"/>
                <w:kern w:val="0"/>
                <w:sz w:val="24"/>
                <w:szCs w:val="24"/>
                <w:highlight w:val="none"/>
                <w:u w:val="none"/>
                <w:lang w:val="en-US" w:eastAsia="zh-CN" w:bidi="ar"/>
              </w:rPr>
              <w:t>...</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2695BCD5">
            <w:pPr>
              <w:jc w:val="center"/>
              <w:outlineLvl w:val="9"/>
              <w:rPr>
                <w:rFonts w:hint="eastAsia" w:ascii="宋体" w:hAnsi="宋体" w:eastAsia="宋体" w:cs="宋体"/>
                <w:b w:val="0"/>
                <w:bCs w:val="0"/>
                <w:i w:val="0"/>
                <w:iCs w:val="0"/>
                <w:color w:val="auto"/>
                <w:sz w:val="24"/>
                <w:szCs w:val="24"/>
                <w:highlight w:val="none"/>
                <w:u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78F6C231">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6ED879D6">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59A42630">
            <w:pPr>
              <w:jc w:val="center"/>
              <w:outlineLvl w:val="9"/>
              <w:rPr>
                <w:rFonts w:hint="eastAsia" w:ascii="宋体" w:hAnsi="宋体" w:eastAsia="宋体" w:cs="宋体"/>
                <w:b w:val="0"/>
                <w:bCs w:val="0"/>
                <w:i w:val="0"/>
                <w:iCs w:val="0"/>
                <w:color w:val="auto"/>
                <w:sz w:val="24"/>
                <w:szCs w:val="24"/>
                <w:highlight w:val="none"/>
                <w:u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2B42DCD0">
            <w:pPr>
              <w:jc w:val="center"/>
              <w:outlineLvl w:val="9"/>
              <w:rPr>
                <w:rFonts w:hint="eastAsia" w:ascii="宋体" w:hAnsi="宋体" w:eastAsia="宋体" w:cs="宋体"/>
                <w:b w:val="0"/>
                <w:bCs w:val="0"/>
                <w:i w:val="0"/>
                <w:iCs w:val="0"/>
                <w:color w:val="auto"/>
                <w:sz w:val="24"/>
                <w:szCs w:val="24"/>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5881CA34">
            <w:pPr>
              <w:jc w:val="center"/>
              <w:outlineLvl w:val="9"/>
              <w:rPr>
                <w:rFonts w:hint="eastAsia" w:ascii="宋体" w:hAnsi="宋体" w:eastAsia="宋体" w:cs="宋体"/>
                <w:b w:val="0"/>
                <w:bCs w:val="0"/>
                <w:i w:val="0"/>
                <w:iCs w:val="0"/>
                <w:color w:val="auto"/>
                <w:sz w:val="24"/>
                <w:szCs w:val="24"/>
                <w:highlight w:val="none"/>
                <w:u w:val="none"/>
              </w:rPr>
            </w:pPr>
          </w:p>
        </w:tc>
      </w:tr>
      <w:tr w14:paraId="56093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9241" w:type="dxa"/>
            <w:gridSpan w:val="13"/>
            <w:tcBorders>
              <w:top w:val="nil"/>
              <w:left w:val="single" w:color="000000" w:sz="4" w:space="0"/>
              <w:bottom w:val="nil"/>
              <w:right w:val="single" w:color="000000" w:sz="4" w:space="0"/>
            </w:tcBorders>
            <w:noWrap w:val="0"/>
            <w:vAlign w:val="center"/>
          </w:tcPr>
          <w:p w14:paraId="7B117BDD">
            <w:pPr>
              <w:jc w:val="center"/>
              <w:outlineLvl w:val="9"/>
              <w:rPr>
                <w:rFonts w:hint="eastAsia" w:ascii="宋体" w:hAnsi="宋体" w:eastAsia="宋体" w:cs="宋体"/>
                <w:b w:val="0"/>
                <w:bCs w:val="0"/>
                <w:i w:val="0"/>
                <w:iCs w:val="0"/>
                <w:color w:val="auto"/>
                <w:sz w:val="24"/>
                <w:szCs w:val="24"/>
                <w:highlight w:val="none"/>
                <w:u w:val="single"/>
              </w:rPr>
            </w:pPr>
            <w:r>
              <w:rPr>
                <w:rFonts w:hint="eastAsia" w:ascii="宋体" w:hAnsi="宋体" w:eastAsia="宋体" w:cs="宋体"/>
                <w:b w:val="0"/>
                <w:bCs w:val="0"/>
                <w:i w:val="0"/>
                <w:iCs w:val="0"/>
                <w:color w:val="auto"/>
                <w:kern w:val="0"/>
                <w:sz w:val="24"/>
                <w:szCs w:val="24"/>
                <w:highlight w:val="none"/>
                <w:u w:val="single"/>
                <w:lang w:val="en-US" w:eastAsia="zh-CN" w:bidi="ar"/>
              </w:rPr>
              <w:t>申购审核</w:t>
            </w:r>
          </w:p>
        </w:tc>
      </w:tr>
      <w:tr w14:paraId="725A9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810" w:type="dxa"/>
            <w:gridSpan w:val="2"/>
            <w:tcBorders>
              <w:top w:val="nil"/>
              <w:left w:val="single" w:color="000000" w:sz="4" w:space="0"/>
              <w:bottom w:val="nil"/>
              <w:right w:val="nil"/>
            </w:tcBorders>
            <w:noWrap w:val="0"/>
            <w:vAlign w:val="center"/>
          </w:tcPr>
          <w:p w14:paraId="747BD5C3">
            <w:pPr>
              <w:keepNext w:val="0"/>
              <w:keepLines w:val="0"/>
              <w:widowControl/>
              <w:suppressLineNumbers w:val="0"/>
              <w:jc w:val="left"/>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厨师长：</w:t>
            </w:r>
          </w:p>
        </w:tc>
        <w:tc>
          <w:tcPr>
            <w:tcW w:w="744" w:type="dxa"/>
            <w:tcBorders>
              <w:top w:val="nil"/>
              <w:left w:val="nil"/>
              <w:bottom w:val="nil"/>
              <w:right w:val="nil"/>
            </w:tcBorders>
            <w:noWrap w:val="0"/>
            <w:vAlign w:val="center"/>
          </w:tcPr>
          <w:p w14:paraId="7EEAB401">
            <w:pPr>
              <w:jc w:val="center"/>
              <w:outlineLvl w:val="9"/>
              <w:rPr>
                <w:rFonts w:hint="eastAsia" w:ascii="宋体" w:hAnsi="宋体" w:eastAsia="宋体" w:cs="宋体"/>
                <w:b w:val="0"/>
                <w:bCs w:val="0"/>
                <w:i w:val="0"/>
                <w:iCs w:val="0"/>
                <w:color w:val="auto"/>
                <w:sz w:val="24"/>
                <w:szCs w:val="24"/>
                <w:highlight w:val="none"/>
                <w:u w:val="none"/>
              </w:rPr>
            </w:pPr>
          </w:p>
        </w:tc>
        <w:tc>
          <w:tcPr>
            <w:tcW w:w="3133" w:type="dxa"/>
            <w:gridSpan w:val="5"/>
            <w:tcBorders>
              <w:top w:val="nil"/>
              <w:left w:val="nil"/>
              <w:bottom w:val="nil"/>
              <w:right w:val="nil"/>
            </w:tcBorders>
            <w:noWrap w:val="0"/>
            <w:vAlign w:val="center"/>
          </w:tcPr>
          <w:p w14:paraId="03B9E2E0">
            <w:pPr>
              <w:jc w:val="center"/>
              <w:outlineLvl w:val="9"/>
              <w:rPr>
                <w:rFonts w:hint="eastAsia" w:ascii="宋体" w:hAnsi="宋体" w:eastAsia="宋体" w:cs="宋体"/>
                <w:b w:val="0"/>
                <w:bCs w:val="0"/>
                <w:i w:val="0"/>
                <w:iCs w:val="0"/>
                <w:color w:val="auto"/>
                <w:sz w:val="24"/>
                <w:szCs w:val="24"/>
                <w:highlight w:val="none"/>
                <w:u w:val="none"/>
              </w:rPr>
            </w:pPr>
          </w:p>
        </w:tc>
        <w:tc>
          <w:tcPr>
            <w:tcW w:w="2124" w:type="dxa"/>
            <w:gridSpan w:val="2"/>
            <w:tcBorders>
              <w:top w:val="nil"/>
              <w:left w:val="nil"/>
              <w:bottom w:val="nil"/>
              <w:right w:val="nil"/>
            </w:tcBorders>
            <w:noWrap w:val="0"/>
            <w:vAlign w:val="center"/>
          </w:tcPr>
          <w:p w14:paraId="33BB9723">
            <w:pPr>
              <w:keepNext w:val="0"/>
              <w:keepLines w:val="0"/>
              <w:widowControl/>
              <w:suppressLineNumbers w:val="0"/>
              <w:jc w:val="left"/>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餐厅经理：</w:t>
            </w:r>
          </w:p>
        </w:tc>
        <w:tc>
          <w:tcPr>
            <w:tcW w:w="1052" w:type="dxa"/>
            <w:gridSpan w:val="2"/>
            <w:tcBorders>
              <w:top w:val="nil"/>
              <w:left w:val="nil"/>
              <w:bottom w:val="nil"/>
              <w:right w:val="nil"/>
            </w:tcBorders>
            <w:noWrap w:val="0"/>
            <w:vAlign w:val="center"/>
          </w:tcPr>
          <w:p w14:paraId="677F6C77">
            <w:pPr>
              <w:jc w:val="left"/>
              <w:outlineLvl w:val="9"/>
              <w:rPr>
                <w:rFonts w:hint="eastAsia" w:ascii="宋体" w:hAnsi="宋体" w:eastAsia="宋体" w:cs="宋体"/>
                <w:b w:val="0"/>
                <w:bCs w:val="0"/>
                <w:i w:val="0"/>
                <w:iCs w:val="0"/>
                <w:color w:val="auto"/>
                <w:sz w:val="24"/>
                <w:szCs w:val="24"/>
                <w:highlight w:val="none"/>
                <w:u w:val="none"/>
              </w:rPr>
            </w:pPr>
          </w:p>
        </w:tc>
        <w:tc>
          <w:tcPr>
            <w:tcW w:w="378" w:type="dxa"/>
            <w:tcBorders>
              <w:top w:val="nil"/>
              <w:left w:val="nil"/>
              <w:bottom w:val="nil"/>
              <w:right w:val="single" w:color="000000" w:sz="4" w:space="0"/>
            </w:tcBorders>
            <w:noWrap w:val="0"/>
            <w:vAlign w:val="center"/>
          </w:tcPr>
          <w:p w14:paraId="2540E8ED">
            <w:pPr>
              <w:outlineLvl w:val="9"/>
              <w:rPr>
                <w:rFonts w:hint="eastAsia" w:ascii="宋体" w:hAnsi="宋体" w:eastAsia="宋体" w:cs="宋体"/>
                <w:b w:val="0"/>
                <w:bCs w:val="0"/>
                <w:i w:val="0"/>
                <w:iCs w:val="0"/>
                <w:color w:val="auto"/>
                <w:sz w:val="24"/>
                <w:szCs w:val="24"/>
                <w:highlight w:val="none"/>
                <w:u w:val="none"/>
              </w:rPr>
            </w:pPr>
          </w:p>
        </w:tc>
      </w:tr>
      <w:tr w14:paraId="1100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810" w:type="dxa"/>
            <w:gridSpan w:val="2"/>
            <w:tcBorders>
              <w:top w:val="nil"/>
              <w:left w:val="single" w:color="000000" w:sz="4" w:space="0"/>
              <w:bottom w:val="single" w:color="000000" w:sz="4" w:space="0"/>
              <w:right w:val="nil"/>
            </w:tcBorders>
            <w:noWrap w:val="0"/>
            <w:vAlign w:val="center"/>
          </w:tcPr>
          <w:p w14:paraId="24C4FF48">
            <w:pPr>
              <w:keepNext w:val="0"/>
              <w:keepLines w:val="0"/>
              <w:widowControl/>
              <w:suppressLineNumbers w:val="0"/>
              <w:jc w:val="left"/>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现场管理：</w:t>
            </w:r>
          </w:p>
        </w:tc>
        <w:tc>
          <w:tcPr>
            <w:tcW w:w="744" w:type="dxa"/>
            <w:tcBorders>
              <w:top w:val="nil"/>
              <w:left w:val="nil"/>
              <w:bottom w:val="single" w:color="000000" w:sz="4" w:space="0"/>
              <w:right w:val="nil"/>
            </w:tcBorders>
            <w:noWrap w:val="0"/>
            <w:vAlign w:val="center"/>
          </w:tcPr>
          <w:p w14:paraId="070DFA53">
            <w:pPr>
              <w:jc w:val="center"/>
              <w:outlineLvl w:val="9"/>
              <w:rPr>
                <w:rFonts w:hint="eastAsia" w:ascii="宋体" w:hAnsi="宋体" w:eastAsia="宋体" w:cs="宋体"/>
                <w:b w:val="0"/>
                <w:bCs w:val="0"/>
                <w:i w:val="0"/>
                <w:iCs w:val="0"/>
                <w:color w:val="auto"/>
                <w:sz w:val="24"/>
                <w:szCs w:val="24"/>
                <w:highlight w:val="none"/>
                <w:u w:val="none"/>
              </w:rPr>
            </w:pPr>
          </w:p>
        </w:tc>
        <w:tc>
          <w:tcPr>
            <w:tcW w:w="3133" w:type="dxa"/>
            <w:gridSpan w:val="5"/>
            <w:tcBorders>
              <w:top w:val="nil"/>
              <w:left w:val="nil"/>
              <w:bottom w:val="single" w:color="000000" w:sz="4" w:space="0"/>
              <w:right w:val="nil"/>
            </w:tcBorders>
            <w:noWrap w:val="0"/>
            <w:vAlign w:val="center"/>
          </w:tcPr>
          <w:p w14:paraId="02BC2B69">
            <w:pPr>
              <w:jc w:val="center"/>
              <w:outlineLvl w:val="9"/>
              <w:rPr>
                <w:rFonts w:hint="eastAsia" w:ascii="宋体" w:hAnsi="宋体" w:eastAsia="宋体" w:cs="宋体"/>
                <w:b w:val="0"/>
                <w:bCs w:val="0"/>
                <w:i w:val="0"/>
                <w:iCs w:val="0"/>
                <w:color w:val="auto"/>
                <w:sz w:val="24"/>
                <w:szCs w:val="24"/>
                <w:highlight w:val="none"/>
                <w:u w:val="none"/>
              </w:rPr>
            </w:pPr>
          </w:p>
        </w:tc>
        <w:tc>
          <w:tcPr>
            <w:tcW w:w="2124" w:type="dxa"/>
            <w:gridSpan w:val="2"/>
            <w:tcBorders>
              <w:top w:val="nil"/>
              <w:left w:val="nil"/>
              <w:bottom w:val="single" w:color="000000" w:sz="4" w:space="0"/>
              <w:right w:val="nil"/>
            </w:tcBorders>
            <w:noWrap w:val="0"/>
            <w:vAlign w:val="center"/>
          </w:tcPr>
          <w:p w14:paraId="1F17E900">
            <w:pPr>
              <w:keepNext w:val="0"/>
              <w:keepLines w:val="0"/>
              <w:widowControl/>
              <w:suppressLineNumbers w:val="0"/>
              <w:jc w:val="both"/>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库管：</w:t>
            </w:r>
          </w:p>
        </w:tc>
        <w:tc>
          <w:tcPr>
            <w:tcW w:w="1052" w:type="dxa"/>
            <w:gridSpan w:val="2"/>
            <w:tcBorders>
              <w:top w:val="nil"/>
              <w:left w:val="nil"/>
              <w:bottom w:val="nil"/>
              <w:right w:val="nil"/>
            </w:tcBorders>
            <w:noWrap w:val="0"/>
            <w:vAlign w:val="center"/>
          </w:tcPr>
          <w:p w14:paraId="0362D2DB">
            <w:pPr>
              <w:outlineLvl w:val="9"/>
              <w:rPr>
                <w:rFonts w:hint="eastAsia" w:ascii="宋体" w:hAnsi="宋体" w:eastAsia="宋体" w:cs="宋体"/>
                <w:b w:val="0"/>
                <w:bCs w:val="0"/>
                <w:i w:val="0"/>
                <w:iCs w:val="0"/>
                <w:color w:val="auto"/>
                <w:sz w:val="24"/>
                <w:szCs w:val="24"/>
                <w:highlight w:val="none"/>
                <w:u w:val="none"/>
              </w:rPr>
            </w:pPr>
          </w:p>
        </w:tc>
        <w:tc>
          <w:tcPr>
            <w:tcW w:w="378" w:type="dxa"/>
            <w:tcBorders>
              <w:top w:val="nil"/>
              <w:left w:val="nil"/>
              <w:bottom w:val="single" w:color="000000" w:sz="4" w:space="0"/>
              <w:right w:val="single" w:color="000000" w:sz="4" w:space="0"/>
            </w:tcBorders>
            <w:noWrap w:val="0"/>
            <w:vAlign w:val="center"/>
          </w:tcPr>
          <w:p w14:paraId="1942F97F">
            <w:pPr>
              <w:jc w:val="center"/>
              <w:outlineLvl w:val="9"/>
              <w:rPr>
                <w:rFonts w:hint="eastAsia" w:ascii="宋体" w:hAnsi="宋体" w:eastAsia="宋体" w:cs="宋体"/>
                <w:b w:val="0"/>
                <w:bCs w:val="0"/>
                <w:i w:val="0"/>
                <w:iCs w:val="0"/>
                <w:color w:val="auto"/>
                <w:sz w:val="24"/>
                <w:szCs w:val="24"/>
                <w:highlight w:val="none"/>
                <w:u w:val="none"/>
              </w:rPr>
            </w:pPr>
          </w:p>
        </w:tc>
      </w:tr>
      <w:tr w14:paraId="16C59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241" w:type="dxa"/>
            <w:gridSpan w:val="13"/>
            <w:tcBorders>
              <w:top w:val="single" w:color="000000" w:sz="4" w:space="0"/>
              <w:left w:val="single" w:color="000000" w:sz="4" w:space="0"/>
              <w:bottom w:val="nil"/>
              <w:right w:val="single" w:color="000000" w:sz="4" w:space="0"/>
            </w:tcBorders>
            <w:noWrap w:val="0"/>
            <w:vAlign w:val="center"/>
          </w:tcPr>
          <w:p w14:paraId="46BB1D84">
            <w:pPr>
              <w:keepNext w:val="0"/>
              <w:keepLines w:val="0"/>
              <w:widowControl/>
              <w:suppressLineNumbers w:val="0"/>
              <w:jc w:val="center"/>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single"/>
                <w:lang w:val="en-US" w:eastAsia="zh-CN" w:bidi="ar"/>
              </w:rPr>
              <w:t>入库验收</w:t>
            </w:r>
          </w:p>
        </w:tc>
      </w:tr>
      <w:tr w14:paraId="0DD06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810" w:type="dxa"/>
            <w:gridSpan w:val="2"/>
            <w:tcBorders>
              <w:top w:val="nil"/>
              <w:left w:val="single" w:color="000000" w:sz="4" w:space="0"/>
              <w:bottom w:val="single" w:color="000000" w:sz="4" w:space="0"/>
              <w:right w:val="nil"/>
            </w:tcBorders>
            <w:noWrap w:val="0"/>
            <w:vAlign w:val="center"/>
          </w:tcPr>
          <w:p w14:paraId="23185973">
            <w:pPr>
              <w:keepNext w:val="0"/>
              <w:keepLines w:val="0"/>
              <w:widowControl/>
              <w:suppressLineNumbers w:val="0"/>
              <w:jc w:val="left"/>
              <w:textAlignment w:val="center"/>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厨师长：</w:t>
            </w:r>
          </w:p>
        </w:tc>
        <w:tc>
          <w:tcPr>
            <w:tcW w:w="744" w:type="dxa"/>
            <w:tcBorders>
              <w:top w:val="nil"/>
              <w:left w:val="nil"/>
              <w:bottom w:val="single" w:color="000000" w:sz="4" w:space="0"/>
              <w:right w:val="nil"/>
            </w:tcBorders>
            <w:noWrap w:val="0"/>
            <w:vAlign w:val="center"/>
          </w:tcPr>
          <w:p w14:paraId="424CE707">
            <w:pPr>
              <w:jc w:val="center"/>
              <w:outlineLvl w:val="9"/>
              <w:rPr>
                <w:rFonts w:hint="eastAsia" w:ascii="宋体" w:hAnsi="宋体" w:eastAsia="宋体" w:cs="宋体"/>
                <w:b w:val="0"/>
                <w:bCs w:val="0"/>
                <w:i w:val="0"/>
                <w:iCs w:val="0"/>
                <w:color w:val="auto"/>
                <w:sz w:val="24"/>
                <w:szCs w:val="24"/>
                <w:highlight w:val="none"/>
                <w:u w:val="none"/>
              </w:rPr>
            </w:pPr>
          </w:p>
        </w:tc>
        <w:tc>
          <w:tcPr>
            <w:tcW w:w="3133" w:type="dxa"/>
            <w:gridSpan w:val="5"/>
            <w:tcBorders>
              <w:top w:val="nil"/>
              <w:left w:val="nil"/>
              <w:bottom w:val="single" w:color="000000" w:sz="4" w:space="0"/>
              <w:right w:val="nil"/>
            </w:tcBorders>
            <w:noWrap w:val="0"/>
            <w:vAlign w:val="center"/>
          </w:tcPr>
          <w:p w14:paraId="0EC57479">
            <w:pPr>
              <w:jc w:val="center"/>
              <w:outlineLvl w:val="9"/>
              <w:rPr>
                <w:rFonts w:hint="eastAsia" w:ascii="宋体" w:hAnsi="宋体" w:eastAsia="宋体" w:cs="宋体"/>
                <w:b w:val="0"/>
                <w:bCs w:val="0"/>
                <w:i w:val="0"/>
                <w:iCs w:val="0"/>
                <w:color w:val="auto"/>
                <w:sz w:val="24"/>
                <w:szCs w:val="24"/>
                <w:highlight w:val="none"/>
                <w:u w:val="none"/>
              </w:rPr>
            </w:pPr>
          </w:p>
        </w:tc>
        <w:tc>
          <w:tcPr>
            <w:tcW w:w="2124" w:type="dxa"/>
            <w:gridSpan w:val="2"/>
            <w:tcBorders>
              <w:top w:val="nil"/>
              <w:left w:val="nil"/>
              <w:bottom w:val="single" w:color="000000" w:sz="4" w:space="0"/>
              <w:right w:val="nil"/>
            </w:tcBorders>
            <w:noWrap w:val="0"/>
            <w:vAlign w:val="center"/>
          </w:tcPr>
          <w:p w14:paraId="58646597">
            <w:pPr>
              <w:jc w:val="both"/>
              <w:outlineLvl w:val="9"/>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库管：</w:t>
            </w:r>
          </w:p>
        </w:tc>
        <w:tc>
          <w:tcPr>
            <w:tcW w:w="1052" w:type="dxa"/>
            <w:gridSpan w:val="2"/>
            <w:tcBorders>
              <w:top w:val="nil"/>
              <w:left w:val="nil"/>
              <w:bottom w:val="single" w:color="000000" w:sz="4" w:space="0"/>
              <w:right w:val="nil"/>
            </w:tcBorders>
            <w:noWrap w:val="0"/>
            <w:vAlign w:val="center"/>
          </w:tcPr>
          <w:p w14:paraId="120F43AA">
            <w:pPr>
              <w:keepNext w:val="0"/>
              <w:keepLines w:val="0"/>
              <w:widowControl/>
              <w:suppressLineNumbers w:val="0"/>
              <w:jc w:val="both"/>
              <w:textAlignment w:val="center"/>
              <w:outlineLvl w:val="9"/>
              <w:rPr>
                <w:rFonts w:hint="eastAsia" w:ascii="宋体" w:hAnsi="宋体" w:eastAsia="宋体" w:cs="宋体"/>
                <w:b w:val="0"/>
                <w:bCs w:val="0"/>
                <w:i w:val="0"/>
                <w:iCs w:val="0"/>
                <w:color w:val="auto"/>
                <w:sz w:val="24"/>
                <w:szCs w:val="24"/>
                <w:highlight w:val="none"/>
                <w:u w:val="none"/>
              </w:rPr>
            </w:pPr>
          </w:p>
        </w:tc>
        <w:tc>
          <w:tcPr>
            <w:tcW w:w="378" w:type="dxa"/>
            <w:tcBorders>
              <w:top w:val="nil"/>
              <w:left w:val="nil"/>
              <w:bottom w:val="single" w:color="000000" w:sz="4" w:space="0"/>
              <w:right w:val="single" w:color="000000" w:sz="4" w:space="0"/>
            </w:tcBorders>
            <w:noWrap w:val="0"/>
            <w:vAlign w:val="center"/>
          </w:tcPr>
          <w:p w14:paraId="43F415E0">
            <w:pPr>
              <w:jc w:val="center"/>
              <w:outlineLvl w:val="9"/>
              <w:rPr>
                <w:rFonts w:hint="eastAsia" w:ascii="宋体" w:hAnsi="宋体" w:eastAsia="宋体" w:cs="宋体"/>
                <w:b w:val="0"/>
                <w:bCs w:val="0"/>
                <w:i w:val="0"/>
                <w:iCs w:val="0"/>
                <w:color w:val="auto"/>
                <w:sz w:val="24"/>
                <w:szCs w:val="24"/>
                <w:highlight w:val="none"/>
                <w:u w:val="none"/>
              </w:rPr>
            </w:pPr>
          </w:p>
        </w:tc>
      </w:tr>
    </w:tbl>
    <w:p w14:paraId="50BD1524">
      <w:pPr>
        <w:keepNext w:val="0"/>
        <w:keepLines w:val="0"/>
        <w:widowControl/>
        <w:suppressLineNumbers w:val="0"/>
        <w:jc w:val="center"/>
        <w:textAlignment w:val="center"/>
        <w:outlineLvl w:val="9"/>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注：乙方负责食材全方面验收，甲方负责实收量复核。</w:t>
      </w:r>
    </w:p>
    <w:p w14:paraId="6EE0FD80">
      <w:pPr>
        <w:pStyle w:val="2"/>
        <w:rPr>
          <w:rFonts w:hint="eastAsia" w:ascii="宋体" w:hAnsi="宋体" w:eastAsia="宋体" w:cs="宋体"/>
          <w:b w:val="0"/>
          <w:bCs w:val="0"/>
          <w:i w:val="0"/>
          <w:iCs w:val="0"/>
          <w:color w:val="auto"/>
          <w:kern w:val="0"/>
          <w:sz w:val="24"/>
          <w:szCs w:val="24"/>
          <w:highlight w:val="none"/>
          <w:u w:val="none"/>
          <w:lang w:val="en-US" w:eastAsia="zh-CN" w:bidi="ar"/>
        </w:rPr>
      </w:pPr>
    </w:p>
    <w:p w14:paraId="494D782F">
      <w:pPr>
        <w:rPr>
          <w:rFonts w:hint="eastAsia"/>
          <w:color w:val="auto"/>
          <w:lang w:val="en-US" w:eastAsia="zh-CN"/>
        </w:rPr>
        <w:sectPr>
          <w:pgSz w:w="11906" w:h="16838"/>
          <w:pgMar w:top="1440" w:right="1800" w:bottom="1440" w:left="1800" w:header="851" w:footer="992" w:gutter="0"/>
          <w:pgNumType w:fmt="decimal"/>
          <w:cols w:space="720" w:num="1"/>
          <w:docGrid w:type="lines" w:linePitch="312" w:charSpace="0"/>
        </w:sectPr>
      </w:pPr>
    </w:p>
    <w:p w14:paraId="2BDEC7DF">
      <w:pPr>
        <w:numPr>
          <w:ilvl w:val="0"/>
          <w:numId w:val="0"/>
        </w:numPr>
        <w:tabs>
          <w:tab w:val="left" w:pos="864"/>
        </w:tabs>
        <w:bidi w:val="0"/>
        <w:spacing w:line="240" w:lineRule="auto"/>
        <w:ind w:left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u w:val="none"/>
          <w:lang w:val="en-US" w:eastAsia="zh-CN" w:bidi="ar-SA"/>
        </w:rPr>
        <w:t>附件2：《供应商考核办法》</w:t>
      </w:r>
    </w:p>
    <w:tbl>
      <w:tblPr>
        <w:tblStyle w:val="10"/>
        <w:tblW w:w="14640"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1"/>
        <w:gridCol w:w="1017"/>
        <w:gridCol w:w="983"/>
        <w:gridCol w:w="2650"/>
        <w:gridCol w:w="7634"/>
        <w:gridCol w:w="816"/>
        <w:gridCol w:w="839"/>
      </w:tblGrid>
      <w:tr w14:paraId="02E48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01" w:type="dxa"/>
            <w:tcBorders>
              <w:top w:val="single" w:color="000000" w:sz="4" w:space="0"/>
              <w:left w:val="single" w:color="000000" w:sz="4" w:space="0"/>
              <w:bottom w:val="single" w:color="000000" w:sz="4" w:space="0"/>
              <w:right w:val="single" w:color="000000" w:sz="4" w:space="0"/>
            </w:tcBorders>
            <w:noWrap w:val="0"/>
            <w:vAlign w:val="center"/>
          </w:tcPr>
          <w:p w14:paraId="384C16E4">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E35EA00">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6FFEC63C">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总分值</w:t>
            </w: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621123EB">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考核内容</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0042FDB2">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考核标准</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2A33F3D1">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分值</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7CE9BF12">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得分</w:t>
            </w:r>
          </w:p>
        </w:tc>
      </w:tr>
      <w:tr w14:paraId="746B4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14:paraId="113E29A0">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017" w:type="dxa"/>
            <w:vMerge w:val="restart"/>
            <w:tcBorders>
              <w:top w:val="single" w:color="000000" w:sz="4" w:space="0"/>
              <w:left w:val="single" w:color="000000" w:sz="4" w:space="0"/>
              <w:bottom w:val="single" w:color="000000" w:sz="4" w:space="0"/>
              <w:right w:val="single" w:color="000000" w:sz="4" w:space="0"/>
            </w:tcBorders>
            <w:noWrap w:val="0"/>
            <w:vAlign w:val="center"/>
          </w:tcPr>
          <w:p w14:paraId="521FE12F">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原材品质</w:t>
            </w:r>
          </w:p>
        </w:tc>
        <w:tc>
          <w:tcPr>
            <w:tcW w:w="983" w:type="dxa"/>
            <w:vMerge w:val="restart"/>
            <w:tcBorders>
              <w:top w:val="single" w:color="000000" w:sz="4" w:space="0"/>
              <w:left w:val="single" w:color="000000" w:sz="4" w:space="0"/>
              <w:bottom w:val="single" w:color="000000" w:sz="4" w:space="0"/>
              <w:right w:val="single" w:color="000000" w:sz="4" w:space="0"/>
            </w:tcBorders>
            <w:noWrap w:val="0"/>
            <w:vAlign w:val="center"/>
          </w:tcPr>
          <w:p w14:paraId="32FDD2E3">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73D206DB">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原材品质</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09D36933">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①参照《供应商管理制度》原材料验收标准</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8F139A7">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1278ABB2">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2CA9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1561CE">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8F83EA">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8E15A5">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73098B22">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质量处理</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2DD2CDF4">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①退换货配合处理度②退货率=退换批次/交付批次</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A570402">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16BF551D">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280CE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4FE6C2">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C957AF">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AAA27">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6571A05B">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原材检疫票</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3EB9BC1C">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①配送鲜肉、冻货、海鲜类有检验合格报告</w:t>
            </w:r>
          </w:p>
          <w:p w14:paraId="5EF26E00">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②配送干货、调料有生产许可证及检验合格报告</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A90AA1A">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2E554BB9">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4A0E4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14:paraId="7C30540E">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017" w:type="dxa"/>
            <w:vMerge w:val="restart"/>
            <w:tcBorders>
              <w:top w:val="single" w:color="000000" w:sz="4" w:space="0"/>
              <w:left w:val="single" w:color="000000" w:sz="4" w:space="0"/>
              <w:bottom w:val="single" w:color="000000" w:sz="4" w:space="0"/>
              <w:right w:val="single" w:color="000000" w:sz="4" w:space="0"/>
            </w:tcBorders>
            <w:noWrap w:val="0"/>
            <w:vAlign w:val="center"/>
          </w:tcPr>
          <w:p w14:paraId="23CF4C88">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交货能力</w:t>
            </w:r>
          </w:p>
        </w:tc>
        <w:tc>
          <w:tcPr>
            <w:tcW w:w="983" w:type="dxa"/>
            <w:vMerge w:val="restart"/>
            <w:tcBorders>
              <w:top w:val="single" w:color="000000" w:sz="4" w:space="0"/>
              <w:left w:val="single" w:color="000000" w:sz="4" w:space="0"/>
              <w:bottom w:val="single" w:color="000000" w:sz="4" w:space="0"/>
              <w:right w:val="single" w:color="000000" w:sz="4" w:space="0"/>
            </w:tcBorders>
            <w:noWrap w:val="0"/>
            <w:vAlign w:val="center"/>
          </w:tcPr>
          <w:p w14:paraId="3435C686">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02CB6513">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配送及时性（含补换货）</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1FAE77EC">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①参照《供应商管理制度》原材料验收标准</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31145A5D">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60607FF7">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5DF48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5DA51D">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087F7B">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0E40DC">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476A64BB">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配送准确度（数量）</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77995D9E">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①配送数量需与订单一致，有无漏送、错送②原材合格率=合格原材数/原材总数</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B8E2226">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0924F2FF">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29B42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CE797B">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E915C5">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66D29E">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764F1943">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临时供货能力</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1629FC3F">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①临时采购订单需求响应度②临时采购订单配送的及时性</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09647A5">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24A2875B">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1DE61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14:paraId="6EADDE58">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01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1E743D">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售后服务</w:t>
            </w:r>
          </w:p>
        </w:tc>
        <w:tc>
          <w:tcPr>
            <w:tcW w:w="983" w:type="dxa"/>
            <w:vMerge w:val="restart"/>
            <w:tcBorders>
              <w:top w:val="single" w:color="000000" w:sz="4" w:space="0"/>
              <w:left w:val="single" w:color="000000" w:sz="4" w:space="0"/>
              <w:bottom w:val="single" w:color="000000" w:sz="4" w:space="0"/>
              <w:right w:val="single" w:color="000000" w:sz="4" w:space="0"/>
            </w:tcBorders>
            <w:noWrap w:val="0"/>
            <w:vAlign w:val="center"/>
          </w:tcPr>
          <w:p w14:paraId="1542D4D6">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w:t>
            </w: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0C1C18E7">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账单回执</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7160D121">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①及时准确提交回执及报销单据</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1FFA4A4">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77BB8C44">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4F6D3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39B6F1">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A36D1F">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ACA9CF">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24C4C8A7">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服务态度</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1D9CD59A">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①文明服务，有效沟通，理性解决供货问题</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27CB97D">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49DB8818">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57BF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FD2E71">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21F278">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637B5E">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39B63E67">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服务效率</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2BD99755">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①参照《供应商管理制度》原材料验收标准</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398894B1">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10AC2D6D">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4307A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14:paraId="0F48F542">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017" w:type="dxa"/>
            <w:vMerge w:val="restart"/>
            <w:tcBorders>
              <w:top w:val="single" w:color="000000" w:sz="4" w:space="0"/>
              <w:left w:val="single" w:color="000000" w:sz="4" w:space="0"/>
              <w:bottom w:val="single" w:color="000000" w:sz="4" w:space="0"/>
              <w:right w:val="single" w:color="000000" w:sz="4" w:space="0"/>
            </w:tcBorders>
            <w:noWrap w:val="0"/>
            <w:vAlign w:val="center"/>
          </w:tcPr>
          <w:p w14:paraId="3A1C6510">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服务保障</w:t>
            </w:r>
          </w:p>
        </w:tc>
        <w:tc>
          <w:tcPr>
            <w:tcW w:w="983" w:type="dxa"/>
            <w:vMerge w:val="restart"/>
            <w:tcBorders>
              <w:top w:val="single" w:color="000000" w:sz="4" w:space="0"/>
              <w:left w:val="single" w:color="000000" w:sz="4" w:space="0"/>
              <w:bottom w:val="single" w:color="000000" w:sz="4" w:space="0"/>
              <w:right w:val="single" w:color="000000" w:sz="4" w:space="0"/>
            </w:tcBorders>
            <w:noWrap w:val="0"/>
            <w:vAlign w:val="center"/>
          </w:tcPr>
          <w:p w14:paraId="2DCF109E">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1F8A5F4D">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配送人员、车辆情况</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5AFEF1F7">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①参照《供应商管理制度》原材料验收标准</w:t>
            </w:r>
          </w:p>
          <w:p w14:paraId="6DE63B4A">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②保证配送人员的稳定性</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E48E1E9">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0AA49B8E">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4CCEC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B4552B">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EA8B2E">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21792C">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2356EADF">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配送人员素质</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634C94A3">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①参照《供应商管理制度》原材料验收标准</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891E5EC">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27ABA298">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01524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0D2997">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6906C8">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C134FC">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0E21295F">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沟通协调</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465F1B28">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①固定负责人现场沟通协调解决问题</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72DCE51">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36C89A9B">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528D0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71403A">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10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94B9FC">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9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372837">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57F0CB9E">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配送人员安全环保意识</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5CEFDAD2">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①卸货区域及验收区域干净整洁</w:t>
            </w:r>
          </w:p>
          <w:p w14:paraId="5136ECBD">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②配送人员进入验收区域佩戴帽子、口罩、外来人员工服</w:t>
            </w:r>
          </w:p>
          <w:p w14:paraId="26ABCDAB">
            <w:pPr>
              <w:keepNext w:val="0"/>
              <w:keepLines w:val="0"/>
              <w:pageBreakBefore w:val="0"/>
              <w:widowControl/>
              <w:suppressLineNumbers w:val="0"/>
              <w:kinsoku/>
              <w:wordWrap/>
              <w:overflowPunct/>
              <w:topLinePunct w:val="0"/>
              <w:autoSpaceDE/>
              <w:autoSpaceDN/>
              <w:bidi w:val="0"/>
              <w:adjustRightInd/>
              <w:snapToGrid/>
              <w:jc w:val="left"/>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③配合安全生产等工作</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5EA04E0">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4BEC24D9">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i w:val="0"/>
                <w:iCs w:val="0"/>
                <w:color w:val="auto"/>
                <w:sz w:val="22"/>
                <w:szCs w:val="22"/>
                <w:highlight w:val="none"/>
                <w:u w:val="none"/>
              </w:rPr>
            </w:pPr>
          </w:p>
        </w:tc>
      </w:tr>
      <w:tr w14:paraId="7E944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2701" w:type="dxa"/>
            <w:gridSpan w:val="3"/>
            <w:tcBorders>
              <w:top w:val="single" w:color="000000" w:sz="4" w:space="0"/>
              <w:left w:val="single" w:color="000000" w:sz="4" w:space="0"/>
              <w:bottom w:val="single" w:color="000000" w:sz="4" w:space="0"/>
              <w:right w:val="single" w:color="000000" w:sz="4" w:space="0"/>
            </w:tcBorders>
            <w:noWrap w:val="0"/>
            <w:vAlign w:val="center"/>
          </w:tcPr>
          <w:p w14:paraId="7BFA33A8">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最终得分</w:t>
            </w:r>
          </w:p>
        </w:tc>
        <w:tc>
          <w:tcPr>
            <w:tcW w:w="2650" w:type="dxa"/>
            <w:tcBorders>
              <w:top w:val="single" w:color="000000" w:sz="4" w:space="0"/>
              <w:left w:val="single" w:color="000000" w:sz="4" w:space="0"/>
              <w:bottom w:val="single" w:color="000000" w:sz="4" w:space="0"/>
              <w:right w:val="single" w:color="000000" w:sz="4" w:space="0"/>
            </w:tcBorders>
            <w:noWrap w:val="0"/>
            <w:vAlign w:val="center"/>
          </w:tcPr>
          <w:p w14:paraId="0C533AA3">
            <w:pPr>
              <w:keepNext w:val="0"/>
              <w:keepLines w:val="0"/>
              <w:pageBreakBefore w:val="0"/>
              <w:kinsoku/>
              <w:wordWrap/>
              <w:overflowPunct/>
              <w:topLinePunct w:val="0"/>
              <w:autoSpaceDE/>
              <w:autoSpaceDN/>
              <w:bidi w:val="0"/>
              <w:adjustRightInd/>
              <w:snapToGrid/>
              <w:jc w:val="left"/>
              <w:outlineLvl w:val="9"/>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w:t>
            </w:r>
          </w:p>
        </w:tc>
        <w:tc>
          <w:tcPr>
            <w:tcW w:w="7634" w:type="dxa"/>
            <w:tcBorders>
              <w:top w:val="single" w:color="000000" w:sz="4" w:space="0"/>
              <w:left w:val="single" w:color="000000" w:sz="4" w:space="0"/>
              <w:bottom w:val="single" w:color="000000" w:sz="4" w:space="0"/>
              <w:right w:val="single" w:color="000000" w:sz="4" w:space="0"/>
            </w:tcBorders>
            <w:noWrap w:val="0"/>
            <w:vAlign w:val="center"/>
          </w:tcPr>
          <w:p w14:paraId="69941348">
            <w:pPr>
              <w:keepNext w:val="0"/>
              <w:keepLines w:val="0"/>
              <w:pageBreakBefore w:val="0"/>
              <w:kinsoku/>
              <w:wordWrap/>
              <w:overflowPunct/>
              <w:topLinePunct w:val="0"/>
              <w:autoSpaceDE/>
              <w:autoSpaceDN/>
              <w:bidi w:val="0"/>
              <w:adjustRightInd/>
              <w:snapToGrid/>
              <w:jc w:val="left"/>
              <w:outlineLvl w:val="9"/>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547F6DE">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c>
          <w:tcPr>
            <w:tcW w:w="839" w:type="dxa"/>
            <w:tcBorders>
              <w:top w:val="single" w:color="000000" w:sz="4" w:space="0"/>
              <w:left w:val="single" w:color="000000" w:sz="4" w:space="0"/>
              <w:bottom w:val="single" w:color="000000" w:sz="4" w:space="0"/>
              <w:right w:val="single" w:color="000000" w:sz="4" w:space="0"/>
            </w:tcBorders>
            <w:noWrap w:val="0"/>
            <w:vAlign w:val="center"/>
          </w:tcPr>
          <w:p w14:paraId="2D41516F">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9"/>
              <w:rPr>
                <w:rFonts w:hint="eastAsia" w:ascii="宋体" w:hAnsi="宋体" w:eastAsia="宋体" w:cs="宋体"/>
                <w:i w:val="0"/>
                <w:iCs w:val="0"/>
                <w:color w:val="auto"/>
                <w:sz w:val="22"/>
                <w:szCs w:val="22"/>
                <w:highlight w:val="none"/>
                <w:u w:val="none"/>
              </w:rPr>
            </w:pPr>
          </w:p>
        </w:tc>
      </w:tr>
    </w:tbl>
    <w:p w14:paraId="203EC59A">
      <w:pPr>
        <w:rPr>
          <w:color w:val="auto"/>
        </w:rPr>
      </w:pPr>
    </w:p>
    <w:p w14:paraId="35E28A77">
      <w:pPr>
        <w:shd w:val="clear" w:color="auto" w:fill="FFFFFF"/>
        <w:spacing w:before="100" w:beforeAutospacing="1" w:after="100" w:afterAutospacing="1" w:line="360" w:lineRule="auto"/>
        <w:outlineLvl w:val="9"/>
        <w:rPr>
          <w:rFonts w:hint="eastAsia" w:ascii="宋体" w:hAnsi="宋体" w:eastAsia="宋体" w:cs="宋体"/>
          <w:caps w:val="0"/>
          <w:color w:val="auto"/>
          <w:sz w:val="24"/>
          <w:szCs w:val="24"/>
          <w:highlight w:val="none"/>
        </w:rPr>
        <w:sectPr>
          <w:footerReference r:id="rId5" w:type="first"/>
          <w:footerReference r:id="rId4" w:type="default"/>
          <w:pgSz w:w="16838" w:h="11906" w:orient="landscape"/>
          <w:pgMar w:top="1800" w:right="1440" w:bottom="1800" w:left="1440" w:header="851" w:footer="992" w:gutter="0"/>
          <w:pgNumType w:fmt="decimal"/>
          <w:cols w:space="720" w:num="1"/>
          <w:titlePg/>
          <w:docGrid w:type="lines" w:linePitch="312" w:charSpace="0"/>
        </w:sectPr>
      </w:pPr>
    </w:p>
    <w:p w14:paraId="41BFB63A"/>
    <w:sectPr>
      <w:headerReference r:id="rId6" w:type="default"/>
      <w:footerReference r:id="rId7" w:type="default"/>
      <w:pgSz w:w="11900" w:h="16840"/>
      <w:pgMar w:top="1440" w:right="1800" w:bottom="1440" w:left="1800" w:header="992"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A8E75">
    <w:pPr>
      <w:pStyle w:val="8"/>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324A479">
                          <w:pPr>
                            <w:pStyle w:val="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1324A479">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25BC9">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54D6A9">
                          <w:pPr>
                            <w:pStyle w:val="8"/>
                          </w:pPr>
                          <w:r>
                            <w:fldChar w:fldCharType="begin"/>
                          </w:r>
                          <w:r>
                            <w:instrText xml:space="preserve"> PAGE  \* MERGEFORMAT </w:instrText>
                          </w:r>
                          <w:r>
                            <w:fldChar w:fldCharType="separate"/>
                          </w:r>
                          <w:r>
                            <w:t>- 52 -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54D6A9">
                    <w:pPr>
                      <w:pStyle w:val="8"/>
                    </w:pPr>
                    <w:r>
                      <w:fldChar w:fldCharType="begin"/>
                    </w:r>
                    <w:r>
                      <w:instrText xml:space="preserve"> PAGE  \* MERGEFORMAT </w:instrText>
                    </w:r>
                    <w:r>
                      <w:fldChar w:fldCharType="separate"/>
                    </w:r>
                    <w:r>
                      <w:t>- 52 -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12A08">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038B9">
                          <w:pPr>
                            <w:pStyle w:val="8"/>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038B9">
                    <w:pPr>
                      <w:pStyle w:val="8"/>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03C3B">
    <w:pPr>
      <w:pStyle w:val="8"/>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711AC3">
                          <w:pPr>
                            <w:pStyle w:val="8"/>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4711AC3">
                    <w:pPr>
                      <w:pStyle w:val="8"/>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92139">
    <w:pPr>
      <w:pStyle w:val="9"/>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5E2DD4"/>
    <w:multiLevelType w:val="singleLevel"/>
    <w:tmpl w:val="BB5E2DD4"/>
    <w:lvl w:ilvl="0" w:tentative="0">
      <w:start w:val="1"/>
      <w:numFmt w:val="decimal"/>
      <w:suff w:val="nothing"/>
      <w:lvlText w:val="%1．"/>
      <w:lvlJc w:val="left"/>
    </w:lvl>
  </w:abstractNum>
  <w:abstractNum w:abstractNumId="1">
    <w:nsid w:val="C4470F08"/>
    <w:multiLevelType w:val="singleLevel"/>
    <w:tmpl w:val="C4470F08"/>
    <w:lvl w:ilvl="0" w:tentative="0">
      <w:start w:val="1"/>
      <w:numFmt w:val="decimal"/>
      <w:suff w:val="nothing"/>
      <w:lvlText w:val="%1．"/>
      <w:lvlJc w:val="left"/>
      <w:pPr>
        <w:ind w:left="0" w:firstLine="400"/>
      </w:pPr>
      <w:rPr>
        <w:rFonts w:hint="default"/>
      </w:rPr>
    </w:lvl>
  </w:abstractNum>
  <w:abstractNum w:abstractNumId="2">
    <w:nsid w:val="616EC0C2"/>
    <w:multiLevelType w:val="singleLevel"/>
    <w:tmpl w:val="616EC0C2"/>
    <w:lvl w:ilvl="0" w:tentative="0">
      <w:start w:val="1"/>
      <w:numFmt w:val="decimal"/>
      <w:suff w:val="nothing"/>
      <w:lvlText w:val="%1．"/>
      <w:lvlJc w:val="left"/>
      <w:pPr>
        <w:ind w:left="-60" w:firstLine="400"/>
      </w:pPr>
      <w:rPr>
        <w:rFonts w:hint="default"/>
      </w:rPr>
    </w:lvl>
  </w:abstractNum>
  <w:abstractNum w:abstractNumId="3">
    <w:nsid w:val="616EC261"/>
    <w:multiLevelType w:val="singleLevel"/>
    <w:tmpl w:val="616EC261"/>
    <w:lvl w:ilvl="0" w:tentative="0">
      <w:start w:val="1"/>
      <w:numFmt w:val="decimal"/>
      <w:suff w:val="nothing"/>
      <w:lvlText w:val="%1．"/>
      <w:lvlJc w:val="left"/>
      <w:pPr>
        <w:ind w:left="0" w:firstLine="400"/>
      </w:pPr>
      <w:rPr>
        <w:rFonts w:hint="default"/>
      </w:rPr>
    </w:lvl>
  </w:abstractNum>
  <w:abstractNum w:abstractNumId="4">
    <w:nsid w:val="616EC530"/>
    <w:multiLevelType w:val="singleLevel"/>
    <w:tmpl w:val="616EC530"/>
    <w:lvl w:ilvl="0" w:tentative="0">
      <w:start w:val="1"/>
      <w:numFmt w:val="decimal"/>
      <w:suff w:val="nothing"/>
      <w:lvlText w:val="%1．"/>
      <w:lvlJc w:val="left"/>
      <w:pPr>
        <w:ind w:left="0" w:firstLine="400"/>
      </w:pPr>
      <w:rPr>
        <w:rFonts w:hint="default"/>
      </w:rPr>
    </w:lvl>
  </w:abstractNum>
  <w:abstractNum w:abstractNumId="5">
    <w:nsid w:val="616EC583"/>
    <w:multiLevelType w:val="singleLevel"/>
    <w:tmpl w:val="616EC583"/>
    <w:lvl w:ilvl="0" w:tentative="0">
      <w:start w:val="1"/>
      <w:numFmt w:val="decimal"/>
      <w:lvlText w:val="%1)"/>
      <w:lvlJc w:val="left"/>
      <w:pPr>
        <w:ind w:left="425" w:hanging="425"/>
      </w:pPr>
      <w:rPr>
        <w:rFonts w:hint="default"/>
      </w:rPr>
    </w:lvl>
  </w:abstractNum>
  <w:abstractNum w:abstractNumId="6">
    <w:nsid w:val="616F86CA"/>
    <w:multiLevelType w:val="singleLevel"/>
    <w:tmpl w:val="616F86CA"/>
    <w:lvl w:ilvl="0" w:tentative="0">
      <w:start w:val="1"/>
      <w:numFmt w:val="decimal"/>
      <w:suff w:val="nothing"/>
      <w:lvlText w:val="%1．"/>
      <w:lvlJc w:val="left"/>
      <w:pPr>
        <w:ind w:left="0" w:firstLine="400"/>
      </w:pPr>
      <w:rPr>
        <w:rFonts w:hint="default"/>
      </w:rPr>
    </w:lvl>
  </w:abstractNum>
  <w:abstractNum w:abstractNumId="7">
    <w:nsid w:val="616F8900"/>
    <w:multiLevelType w:val="singleLevel"/>
    <w:tmpl w:val="616F8900"/>
    <w:lvl w:ilvl="0" w:tentative="0">
      <w:start w:val="1"/>
      <w:numFmt w:val="decimal"/>
      <w:lvlText w:val="%1)"/>
      <w:lvlJc w:val="left"/>
      <w:pPr>
        <w:ind w:left="425" w:hanging="425"/>
      </w:pPr>
      <w:rPr>
        <w:rFonts w:hint="default"/>
      </w:rPr>
    </w:lvl>
  </w:abstractNum>
  <w:abstractNum w:abstractNumId="8">
    <w:nsid w:val="616F8B4E"/>
    <w:multiLevelType w:val="singleLevel"/>
    <w:tmpl w:val="616F8B4E"/>
    <w:lvl w:ilvl="0" w:tentative="0">
      <w:start w:val="1"/>
      <w:numFmt w:val="decimal"/>
      <w:suff w:val="nothing"/>
      <w:lvlText w:val="%1．"/>
      <w:lvlJc w:val="left"/>
      <w:pPr>
        <w:ind w:left="0" w:firstLine="400"/>
      </w:pPr>
      <w:rPr>
        <w:rFonts w:hint="default"/>
      </w:rPr>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040D2E"/>
    <w:rsid w:val="50DE529D"/>
    <w:rsid w:val="6D33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3">
    <w:name w:val="heading 4"/>
    <w:basedOn w:val="1"/>
    <w:next w:val="1"/>
    <w:qFormat/>
    <w:uiPriority w:val="0"/>
    <w:pPr>
      <w:spacing w:beforeAutospacing="1" w:afterAutospacing="1"/>
      <w:outlineLvl w:val="3"/>
    </w:pPr>
    <w:rPr>
      <w:rFonts w:hint="eastAsia" w:ascii="宋体" w:hAnsi="宋体" w:eastAsia="宋体" w:cs="Times New Roman"/>
      <w:b/>
      <w:bCs/>
      <w:sz w:val="24"/>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TOC 标题1"/>
    <w:next w:val="1"/>
    <w:qFormat/>
    <w:uiPriority w:val="0"/>
    <w:pPr>
      <w:wordWrap w:val="0"/>
    </w:pPr>
    <w:rPr>
      <w:rFonts w:ascii="Times New Roman" w:hAnsi="Times New Roman" w:eastAsia="宋体" w:cs="Times New Roman"/>
      <w:sz w:val="32"/>
      <w:lang w:val="en-US" w:eastAsia="zh-CN" w:bidi="ar-SA"/>
    </w:r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w:basedOn w:val="1"/>
    <w:next w:val="1"/>
    <w:qFormat/>
    <w:uiPriority w:val="0"/>
    <w:pPr>
      <w:spacing w:after="120"/>
    </w:pPr>
    <w:rPr>
      <w:szCs w:val="24"/>
    </w:rPr>
  </w:style>
  <w:style w:type="paragraph" w:styleId="6">
    <w:name w:val="Plain Text"/>
    <w:basedOn w:val="1"/>
    <w:qFormat/>
    <w:uiPriority w:val="0"/>
    <w:rPr>
      <w:rFonts w:ascii="宋体" w:hAnsi="Courier New"/>
    </w:rPr>
  </w:style>
  <w:style w:type="paragraph" w:styleId="7">
    <w:name w:val="Body Text Indent 2"/>
    <w:basedOn w:val="1"/>
    <w:qFormat/>
    <w:uiPriority w:val="0"/>
    <w:pPr>
      <w:ind w:left="555"/>
    </w:pPr>
    <w:rPr>
      <w:sz w:val="28"/>
      <w:szCs w:val="20"/>
    </w:rPr>
  </w:style>
  <w:style w:type="paragraph" w:styleId="8">
    <w:name w:val="footer"/>
    <w:basedOn w:val="1"/>
    <w:qFormat/>
    <w:uiPriority w:val="99"/>
    <w:pPr>
      <w:tabs>
        <w:tab w:val="center" w:pos="4153"/>
        <w:tab w:val="right" w:pos="8306"/>
      </w:tabs>
      <w:adjustRightInd w:val="0"/>
      <w:spacing w:line="240" w:lineRule="atLeast"/>
      <w:textAlignment w:val="baseline"/>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1">
    <w:name w:val="Table Grid"/>
    <w:basedOn w:val="1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Table Text"/>
    <w:basedOn w:val="1"/>
    <w:semiHidden/>
    <w:qFormat/>
    <w:uiPriority w:val="0"/>
    <w:rPr>
      <w:rFonts w:ascii="仿宋" w:hAnsi="仿宋" w:eastAsia="仿宋" w:cs="仿宋"/>
      <w:sz w:val="24"/>
      <w:lang w:eastAsia="en-US"/>
    </w:rPr>
  </w:style>
  <w:style w:type="paragraph" w:customStyle="1" w:styleId="14">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4757</Words>
  <Characters>4791</Characters>
  <Lines>0</Lines>
  <Paragraphs>0</Paragraphs>
  <TotalTime>2</TotalTime>
  <ScaleCrop>false</ScaleCrop>
  <LinksUpToDate>false</LinksUpToDate>
  <CharactersWithSpaces>5148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2025-10-30T12:52:00Z</dcterms:created>
  <dc:creator>Administrator</dc:creator>
  <cp:lastModifiedBy>人云日月</cp:lastModifiedBy>
  <dcterms:modified xsi:type="dcterms:W3CDTF">2025-12-15T03:10:49Z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eyJoZGlkIjoiOWUwOWY1OThjOTBmY2I1M2U5OGEyOWE4OWU3MTI0MDIiLCJ1c2VySWQiOiI4OTYzMjYwMzcifQ==</vt:lpwstr>
  </property>
  <property fmtid="{D5CDD505-2E9C-101B-9397-08002B2CF9AE}" pid="4" name="ICV">
    <vt:lpwstr>DE5052B2CAF746AB8F0123DB8D34D807_12</vt:lpwstr>
  </property>
</Properties>
</file>