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版本号：YC251010337(ZBA)20251215002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南院区皮肤科改造项目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YC251010337(ZBA)</w:t>
      </w:r>
      <w:r>
        <w:br/>
      </w:r>
      <w:r>
        <w:br/>
      </w:r>
      <w:r>
        <w:br/>
      </w:r>
    </w:p>
    <w:p>
      <w:pPr>
        <w:pStyle w:val="null3"/>
        <w:jc w:val="center"/>
        <w:outlineLvl w:val="2"/>
      </w:pPr>
      <w:r>
        <w:rPr>
          <w:rFonts w:ascii="仿宋_GB2312" w:hAnsi="仿宋_GB2312" w:cs="仿宋_GB2312" w:eastAsia="仿宋_GB2312"/>
          <w:sz w:val="28"/>
          <w:b/>
        </w:rPr>
        <w:t>西安市红会医院</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西安市红会医院</w:t>
      </w:r>
      <w:r>
        <w:rPr>
          <w:rFonts w:ascii="仿宋_GB2312" w:hAnsi="仿宋_GB2312" w:cs="仿宋_GB2312" w:eastAsia="仿宋_GB2312"/>
        </w:rPr>
        <w:t>委托，拟对</w:t>
      </w:r>
      <w:r>
        <w:rPr>
          <w:rFonts w:ascii="仿宋_GB2312" w:hAnsi="仿宋_GB2312" w:cs="仿宋_GB2312" w:eastAsia="仿宋_GB2312"/>
        </w:rPr>
        <w:t>南院区皮肤科改造项目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YC251010337(ZBA)</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南院区皮肤科改造项目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西安市红会医院南院区皮肤科改造项目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具有独立承担民事责任能力的法人或其他组织，提供合法有效的营业执照、税务登记证、组织机构代码证（三证合一的企业提供统一社会信用代码的营业执照）（原件的复印件加盖公章）</w:t>
      </w:r>
    </w:p>
    <w:p>
      <w:pPr>
        <w:pStyle w:val="null3"/>
      </w:pPr>
      <w:r>
        <w:rPr>
          <w:rFonts w:ascii="仿宋_GB2312" w:hAnsi="仿宋_GB2312" w:cs="仿宋_GB2312" w:eastAsia="仿宋_GB2312"/>
        </w:rPr>
        <w:t>2、具有良好的商业信誉和健全的财务会计制度：提供具有财务审计资质单位出具的2024年度审计报告或提供供应商基本存款账户信息及开标日期前90日内其基本存款账户开户银行出具的资信证明。以上形式的证明资料提供任何一种即可。</w:t>
      </w:r>
    </w:p>
    <w:p>
      <w:pPr>
        <w:pStyle w:val="null3"/>
      </w:pPr>
      <w:r>
        <w:rPr>
          <w:rFonts w:ascii="仿宋_GB2312" w:hAnsi="仿宋_GB2312" w:cs="仿宋_GB2312" w:eastAsia="仿宋_GB2312"/>
        </w:rPr>
        <w:t>3、具有履行合同所必需的设备和专业技术能力：出具履行合同所必需的设备和专业技术能力的书面声明。</w:t>
      </w:r>
    </w:p>
    <w:p>
      <w:pPr>
        <w:pStyle w:val="null3"/>
      </w:pPr>
      <w:r>
        <w:rPr>
          <w:rFonts w:ascii="仿宋_GB2312" w:hAnsi="仿宋_GB2312" w:cs="仿宋_GB2312" w:eastAsia="仿宋_GB2312"/>
        </w:rPr>
        <w:t>4、有依法缴纳税收和社会保障资金的良好记录：1.供应商近六个月内（投标截止时间前）任意1个月纳税证明材料：根据税务部门出具的完税凭证或纳税的银行转账汇款单、对账单等判定，如依法免税或不需要纳税的，提供相应证明材料。 2.供应商近六个月内（投标截止时间前）任意1个月缴纳社会保障金证明材料：根据银行转账汇款单或社保（税务）部门出具的缴纳社会保障金的凭证判定，证明材料应当显示险种和缴纳所属时期；不需要缴纳社会保障金的供应商，应当提供相关证明材料或书面声明。代缴社保证明材料不予认可。</w:t>
      </w:r>
    </w:p>
    <w:p>
      <w:pPr>
        <w:pStyle w:val="null3"/>
      </w:pPr>
      <w:r>
        <w:rPr>
          <w:rFonts w:ascii="仿宋_GB2312" w:hAnsi="仿宋_GB2312" w:cs="仿宋_GB2312" w:eastAsia="仿宋_GB2312"/>
        </w:rPr>
        <w:t>5、参加政府采购活动前三年内，在经营活动中没有重大违法记录：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6、法律、行政法规规定的其他条件：投标人满足法律、行政法规规定的其他条件的书面声明。</w:t>
      </w:r>
    </w:p>
    <w:p>
      <w:pPr>
        <w:pStyle w:val="null3"/>
      </w:pPr>
      <w:r>
        <w:rPr>
          <w:rFonts w:ascii="仿宋_GB2312" w:hAnsi="仿宋_GB2312" w:cs="仿宋_GB2312" w:eastAsia="仿宋_GB2312"/>
        </w:rPr>
        <w:t>7、法定代表人身份证明或法定代表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在投标前6个月内（不含投标当月）任意3个月由投标人缴纳社保证明材料的复印件</w:t>
      </w:r>
    </w:p>
    <w:p>
      <w:pPr>
        <w:pStyle w:val="null3"/>
      </w:pPr>
      <w:r>
        <w:rPr>
          <w:rFonts w:ascii="仿宋_GB2312" w:hAnsi="仿宋_GB2312" w:cs="仿宋_GB2312" w:eastAsia="仿宋_GB2312"/>
        </w:rPr>
        <w:t>8、单位负责人为同一人或者存在直接控股、管理关系的不同供应商不得参加同一合同项下的政府采购活动；为本项目提供整体设计、规范编制或者项目管理、监理、检测等服务的供应商，不得再参加该采购项目的其他采购活动：与投标人为同一人或存在直接控股或管理关系的不同供应商，未参加同一包采购活动。 投标人为生产型企业的，与投标人生产场经营地址或注册登记地址为同一地址的其他生产型企业，未参加同一包采购活动。 投标人为非国有销售型企业的，与投标人以及股东和管理人员（法定代表人、董事或监事）之间存在近亲属（指夫妻、直系血亲、三代以内旁系血亲或近姻亲关系）或相互占股等关联关系的其他非国有销售型企业，也未参加同一包采购活动。投标人提供的业绩证明材料中，合同缔约方不存在控股或管理关系。</w:t>
      </w:r>
    </w:p>
    <w:p>
      <w:pPr>
        <w:pStyle w:val="null3"/>
      </w:pPr>
      <w:r>
        <w:rPr>
          <w:rFonts w:ascii="仿宋_GB2312" w:hAnsi="仿宋_GB2312" w:cs="仿宋_GB2312" w:eastAsia="仿宋_GB2312"/>
        </w:rPr>
        <w:t>9、关联关系：本项目不接受由西安市红会医院职工及其亲属投资举办的企业参加投标(提供承诺函)</w:t>
      </w:r>
    </w:p>
    <w:p>
      <w:pPr>
        <w:pStyle w:val="null3"/>
      </w:pPr>
      <w:r>
        <w:rPr>
          <w:rFonts w:ascii="仿宋_GB2312" w:hAnsi="仿宋_GB2312" w:cs="仿宋_GB2312" w:eastAsia="仿宋_GB2312"/>
        </w:rPr>
        <w:t>10、企业资质：供应商具备建筑工程施工总承包三级及以上资质，或具备建筑装修装饰工程专业承包二级及以上资质和建筑机电安装工程专业承包三级及以上资质，且具有有效的安全生产许可证（提供证明材料）；</w:t>
      </w:r>
    </w:p>
    <w:p>
      <w:pPr>
        <w:pStyle w:val="null3"/>
      </w:pPr>
      <w:r>
        <w:rPr>
          <w:rFonts w:ascii="仿宋_GB2312" w:hAnsi="仿宋_GB2312" w:cs="仿宋_GB2312" w:eastAsia="仿宋_GB2312"/>
        </w:rPr>
        <w:t>11、拟派项目负责人资质与专业要求：1.项目经理具有建筑工程专业二级及以上注册建造师资格且具有有效的安全生产考核合格的B证书； 2.本单位注册且无在建项目（提供承诺书）；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西安市红会医院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西安市南稍门友谊东路555号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029-86520792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刘思琦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15353685616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采购包1：1,757,571.29元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代理服务费收费标准：本项目采购招标代理服务费按计价格〔2002〕1980号及发改价格〔2011〕534号文件规定标准80%计取。由中标供应商领取成交通知书前一次性支付。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踏勘时间：2025-12-23 09:30:00</w:t>
            </w:r>
          </w:p>
          <w:p>
            <w:pPr>
              <w:pStyle w:val="null3"/>
              <w:ind w:firstLine="975"/>
            </w:pPr>
            <w:r>
              <w:rPr>
                <w:rFonts w:ascii="仿宋_GB2312" w:hAnsi="仿宋_GB2312" w:cs="仿宋_GB2312" w:eastAsia="仿宋_GB2312"/>
              </w:rPr>
              <w:t>踏勘地点：西安市红会医院南院区</w:t>
            </w:r>
          </w:p>
          <w:p>
            <w:pPr>
              <w:pStyle w:val="null3"/>
              <w:ind w:firstLine="975"/>
            </w:pPr>
            <w:r>
              <w:rPr>
                <w:rFonts w:ascii="仿宋_GB2312" w:hAnsi="仿宋_GB2312" w:cs="仿宋_GB2312" w:eastAsia="仿宋_GB2312"/>
              </w:rPr>
              <w:t>联系人：刘思琦</w:t>
            </w:r>
          </w:p>
          <w:p>
            <w:pPr>
              <w:pStyle w:val="null3"/>
              <w:ind w:firstLine="975"/>
            </w:pPr>
            <w:r>
              <w:rPr>
                <w:rFonts w:ascii="仿宋_GB2312" w:hAnsi="仿宋_GB2312" w:cs="仿宋_GB2312" w:eastAsia="仿宋_GB2312"/>
              </w:rPr>
              <w:t>联系电话号码：15353685616</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西安市红会医院</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西安市红会医院</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西安市红会医院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联系人：刘思琦</w:t>
      </w:r>
    </w:p>
    <w:p>
      <w:pPr>
        <w:pStyle w:val="null3"/>
      </w:pPr>
      <w:r>
        <w:rPr>
          <w:rFonts w:ascii="仿宋_GB2312" w:hAnsi="仿宋_GB2312" w:cs="仿宋_GB2312" w:eastAsia="仿宋_GB2312"/>
        </w:rPr>
        <w:t>联系电话：15353685616</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1,757,571.29</w:t>
      </w:r>
    </w:p>
    <w:p>
      <w:pPr>
        <w:pStyle w:val="null3"/>
      </w:pPr>
      <w:r>
        <w:rPr>
          <w:rFonts w:ascii="仿宋_GB2312" w:hAnsi="仿宋_GB2312" w:cs="仿宋_GB2312" w:eastAsia="仿宋_GB2312"/>
        </w:rPr>
        <w:t>采购包最高限价（元）: 1,635,640.88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皮肤科改造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1,757,571.29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标的名称：皮肤科改造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一、工程概况</w:t>
            </w:r>
          </w:p>
          <w:p>
            <w:pPr>
              <w:pStyle w:val="null3"/>
            </w:pPr>
            <w:r>
              <w:rPr>
                <w:rFonts w:ascii="仿宋_GB2312" w:hAnsi="仿宋_GB2312" w:cs="仿宋_GB2312" w:eastAsia="仿宋_GB2312"/>
              </w:rPr>
              <w:t>本项目为西安市红会医院南院区一层皮肤科、药房精装修改造项目，改造总面积505m',其中主要建设内容包括:（1）原建筑墙体、天棚、地面等项目拆除；（2）新建墙面、地面、天棚及固装家具；（3）给排水工程改造；（4）电气工程改造；（5）弱电工程改造；（6）通风空调工程改造；（7）火灾自动报警工程改造。</w:t>
            </w:r>
          </w:p>
          <w:p>
            <w:pPr>
              <w:pStyle w:val="null3"/>
            </w:pPr>
            <w:r>
              <w:rPr>
                <w:rFonts w:ascii="仿宋_GB2312" w:hAnsi="仿宋_GB2312" w:cs="仿宋_GB2312" w:eastAsia="仿宋_GB2312"/>
              </w:rPr>
              <w:t>二、工程内容和施工地点、计划工期、缺陷责任期、质量保修期</w:t>
            </w:r>
          </w:p>
          <w:p>
            <w:pPr>
              <w:pStyle w:val="null3"/>
            </w:pPr>
            <w:r>
              <w:rPr>
                <w:rFonts w:ascii="仿宋_GB2312" w:hAnsi="仿宋_GB2312" w:cs="仿宋_GB2312" w:eastAsia="仿宋_GB2312"/>
              </w:rPr>
              <w:t>（一）工程内容：西安市红会医院门诊楼一层皮肤科室内装饰</w:t>
            </w:r>
          </w:p>
          <w:p>
            <w:pPr>
              <w:pStyle w:val="null3"/>
            </w:pPr>
            <w:r>
              <w:rPr>
                <w:rFonts w:ascii="仿宋_GB2312" w:hAnsi="仿宋_GB2312" w:cs="仿宋_GB2312" w:eastAsia="仿宋_GB2312"/>
              </w:rPr>
              <w:t>（二）工程地点：西安市红会医院南院区</w:t>
            </w:r>
          </w:p>
          <w:p>
            <w:pPr>
              <w:pStyle w:val="null3"/>
            </w:pPr>
            <w:r>
              <w:rPr>
                <w:rFonts w:ascii="仿宋_GB2312" w:hAnsi="仿宋_GB2312" w:cs="仿宋_GB2312" w:eastAsia="仿宋_GB2312"/>
              </w:rPr>
              <w:t>（三）计划工期：自进场之日起90个日历日内竣工。</w:t>
            </w:r>
          </w:p>
          <w:p>
            <w:pPr>
              <w:pStyle w:val="null3"/>
            </w:pPr>
            <w:r>
              <w:rPr>
                <w:rFonts w:ascii="仿宋_GB2312" w:hAnsi="仿宋_GB2312" w:cs="仿宋_GB2312" w:eastAsia="仿宋_GB2312"/>
              </w:rPr>
              <w:t>（四）缺陷责任期（与质保金的退还有关）： 2年。</w:t>
            </w:r>
          </w:p>
          <w:p>
            <w:pPr>
              <w:pStyle w:val="null3"/>
            </w:pPr>
            <w:r>
              <w:rPr>
                <w:rFonts w:ascii="仿宋_GB2312" w:hAnsi="仿宋_GB2312" w:cs="仿宋_GB2312" w:eastAsia="仿宋_GB2312"/>
              </w:rPr>
              <w:t>（五）质量保修期（与质保金的退还无关）：2年。</w:t>
            </w:r>
          </w:p>
          <w:p>
            <w:pPr>
              <w:pStyle w:val="null3"/>
            </w:pPr>
            <w:r>
              <w:rPr>
                <w:rFonts w:ascii="仿宋_GB2312" w:hAnsi="仿宋_GB2312" w:cs="仿宋_GB2312" w:eastAsia="仿宋_GB2312"/>
              </w:rPr>
              <w:t>三、工程量清单和计价依据</w:t>
            </w:r>
          </w:p>
          <w:p>
            <w:pPr>
              <w:pStyle w:val="null3"/>
            </w:pPr>
            <w:r>
              <w:rPr>
                <w:rFonts w:ascii="仿宋_GB2312" w:hAnsi="仿宋_GB2312" w:cs="仿宋_GB2312" w:eastAsia="仿宋_GB2312"/>
              </w:rPr>
              <w:t>（一）工程量清单和计价依据</w:t>
            </w:r>
          </w:p>
          <w:p>
            <w:pPr>
              <w:pStyle w:val="null3"/>
            </w:pPr>
            <w:r>
              <w:rPr>
                <w:rFonts w:ascii="仿宋_GB2312" w:hAnsi="仿宋_GB2312" w:cs="仿宋_GB2312" w:eastAsia="仿宋_GB2312"/>
              </w:rPr>
              <w:t>1、设计图纸及现场踏勘；</w:t>
            </w:r>
          </w:p>
          <w:p>
            <w:pPr>
              <w:pStyle w:val="null3"/>
            </w:pPr>
            <w:r>
              <w:rPr>
                <w:rFonts w:ascii="仿宋_GB2312" w:hAnsi="仿宋_GB2312" w:cs="仿宋_GB2312" w:eastAsia="仿宋_GB2312"/>
              </w:rPr>
              <w:t>2、与建设项目相关的标准、规范等技术资料；</w:t>
            </w:r>
          </w:p>
          <w:p>
            <w:pPr>
              <w:pStyle w:val="null3"/>
            </w:pPr>
            <w:r>
              <w:rPr>
                <w:rFonts w:ascii="仿宋_GB2312" w:hAnsi="仿宋_GB2312" w:cs="仿宋_GB2312" w:eastAsia="仿宋_GB2312"/>
              </w:rPr>
              <w:t>3、计价依据执行《建设工程工程量清单计价标准》（DB 61/T 5126—2025）；《陕西省建设工程费用规则》（2025）；《房屋建筑与装饰工程工程量计算标准》（DB 61/T 5129—2025）、《通用安装工程工程量计算标准》（DB 61/T 5130—2025）；《陕西省房屋建筑与装饰工程消耗量定额》（2025）、《陕西省通用安装工程消耗量定额》（2025）、《陕西省建设工程施工机械台班费用定额》（2025）、《陕西省建设工程施工仪器仪表台班费用定额》（2025）；《陕西省房屋建筑与装饰工程基价表》（2025）、《陕西省通用安装工程基价表》（2025）；现行相关的专业工程施工质量验收规范、标准、规定，以及正常的施工方法、施工工艺等；与建设项目相关的法律、规范、标准等资料。</w:t>
            </w:r>
          </w:p>
          <w:p>
            <w:pPr>
              <w:pStyle w:val="null3"/>
            </w:pPr>
            <w:r>
              <w:rPr>
                <w:rFonts w:ascii="仿宋_GB2312" w:hAnsi="仿宋_GB2312" w:cs="仿宋_GB2312" w:eastAsia="仿宋_GB2312"/>
              </w:rPr>
              <w:t>4、清单软件：广联达计价软件GCCP7.0（版本号版本号7.5000.23.2）</w:t>
            </w:r>
          </w:p>
          <w:p>
            <w:pPr>
              <w:pStyle w:val="null3"/>
            </w:pPr>
            <w:r>
              <w:rPr>
                <w:rFonts w:ascii="仿宋_GB2312" w:hAnsi="仿宋_GB2312" w:cs="仿宋_GB2312" w:eastAsia="仿宋_GB2312"/>
              </w:rPr>
              <w:t>5、投标报价需要报价包含图纸深化设计费用。</w:t>
            </w:r>
          </w:p>
          <w:p>
            <w:pPr>
              <w:pStyle w:val="null3"/>
            </w:pPr>
            <w:r>
              <w:rPr>
                <w:rFonts w:ascii="仿宋_GB2312" w:hAnsi="仿宋_GB2312" w:cs="仿宋_GB2312" w:eastAsia="仿宋_GB2312"/>
              </w:rPr>
              <w:t>（二）工程量清单：</w:t>
            </w:r>
          </w:p>
          <w:p>
            <w:pPr>
              <w:pStyle w:val="null3"/>
            </w:pPr>
            <w:r>
              <w:rPr>
                <w:rFonts w:ascii="仿宋_GB2312" w:hAnsi="仿宋_GB2312" w:cs="仿宋_GB2312" w:eastAsia="仿宋_GB2312"/>
              </w:rPr>
              <w:t>1、成品定制木饰面软包卡座为二次深化设计，本次暂按综合单价600元/m计入；</w:t>
            </w:r>
          </w:p>
          <w:p>
            <w:pPr>
              <w:pStyle w:val="null3"/>
            </w:pPr>
            <w:r>
              <w:rPr>
                <w:rFonts w:ascii="仿宋_GB2312" w:hAnsi="仿宋_GB2312" w:cs="仿宋_GB2312" w:eastAsia="仿宋_GB2312"/>
              </w:rPr>
              <w:t>2、单独装饰工程其他项目费用中，列取暂列金额100000.00元。</w:t>
            </w:r>
          </w:p>
          <w:p>
            <w:pPr>
              <w:pStyle w:val="null3"/>
            </w:pPr>
            <w:r>
              <w:rPr>
                <w:rFonts w:ascii="仿宋_GB2312" w:hAnsi="仿宋_GB2312" w:cs="仿宋_GB2312" w:eastAsia="仿宋_GB2312"/>
              </w:rPr>
              <w:t>3、其他内容详见工程量清单。</w:t>
            </w:r>
          </w:p>
          <w:p>
            <w:pPr>
              <w:pStyle w:val="null3"/>
            </w:pPr>
            <w:r>
              <w:rPr>
                <w:rFonts w:ascii="仿宋_GB2312" w:hAnsi="仿宋_GB2312" w:cs="仿宋_GB2312" w:eastAsia="仿宋_GB2312"/>
              </w:rPr>
              <w:t>4、本项目预算金额（元）: 1757571.29</w:t>
            </w:r>
          </w:p>
          <w:p>
            <w:pPr>
              <w:pStyle w:val="null3"/>
            </w:pPr>
            <w:r>
              <w:rPr>
                <w:rFonts w:ascii="仿宋_GB2312" w:hAnsi="仿宋_GB2312" w:cs="仿宋_GB2312" w:eastAsia="仿宋_GB2312"/>
              </w:rPr>
              <w:t>本项目招标最高限价（元）: 1635640.88</w:t>
            </w:r>
          </w:p>
          <w:p>
            <w:pPr>
              <w:pStyle w:val="null3"/>
            </w:pPr>
            <w:r>
              <w:rPr>
                <w:rFonts w:ascii="仿宋_GB2312" w:hAnsi="仿宋_GB2312" w:cs="仿宋_GB2312" w:eastAsia="仿宋_GB2312"/>
              </w:rPr>
              <w:t>（三）图纸</w:t>
            </w:r>
          </w:p>
          <w:p>
            <w:pPr>
              <w:pStyle w:val="null3"/>
            </w:pPr>
            <w:r>
              <w:rPr>
                <w:rFonts w:ascii="仿宋_GB2312" w:hAnsi="仿宋_GB2312" w:cs="仿宋_GB2312" w:eastAsia="仿宋_GB2312"/>
              </w:rPr>
              <w:t>详见图纸及设计答疑。</w:t>
            </w:r>
          </w:p>
          <w:p>
            <w:pPr>
              <w:pStyle w:val="null3"/>
            </w:pPr>
            <w:r>
              <w:rPr>
                <w:rFonts w:ascii="仿宋_GB2312" w:hAnsi="仿宋_GB2312" w:cs="仿宋_GB2312" w:eastAsia="仿宋_GB2312"/>
              </w:rPr>
              <w:t>四、施工要求</w:t>
            </w:r>
          </w:p>
          <w:p>
            <w:pPr>
              <w:pStyle w:val="null3"/>
            </w:pPr>
            <w:r>
              <w:rPr>
                <w:rFonts w:ascii="仿宋_GB2312" w:hAnsi="仿宋_GB2312" w:cs="仿宋_GB2312" w:eastAsia="仿宋_GB2312"/>
              </w:rPr>
              <w:t>1.在施工期间，中标供应商必须注意院内人员安全，加强安全措施，并对施工人员进行安全教育，施工人员必须持证上岗。</w:t>
            </w:r>
          </w:p>
          <w:p>
            <w:pPr>
              <w:pStyle w:val="null3"/>
            </w:pPr>
            <w:r>
              <w:rPr>
                <w:rFonts w:ascii="仿宋_GB2312" w:hAnsi="仿宋_GB2312" w:cs="仿宋_GB2312" w:eastAsia="仿宋_GB2312"/>
              </w:rPr>
              <w:t>2、施工现场噪音、扬尘严格控制，不等影响院内内人员的休息。</w:t>
            </w:r>
          </w:p>
          <w:p>
            <w:pPr>
              <w:pStyle w:val="null3"/>
            </w:pPr>
            <w:r>
              <w:rPr>
                <w:rFonts w:ascii="仿宋_GB2312" w:hAnsi="仿宋_GB2312" w:cs="仿宋_GB2312" w:eastAsia="仿宋_GB2312"/>
              </w:rPr>
              <w:t>3、由于本工程为改造项目，施工工艺要求高，需投标方参与现场勘察。</w:t>
            </w:r>
          </w:p>
          <w:p>
            <w:pPr>
              <w:pStyle w:val="null3"/>
            </w:pPr>
            <w:r>
              <w:rPr>
                <w:rFonts w:ascii="仿宋_GB2312" w:hAnsi="仿宋_GB2312" w:cs="仿宋_GB2312" w:eastAsia="仿宋_GB2312"/>
              </w:rPr>
              <w:t>4、施工现场要求满足安全文明施工。</w:t>
            </w:r>
          </w:p>
          <w:p>
            <w:pPr>
              <w:pStyle w:val="null3"/>
            </w:pPr>
            <w:r>
              <w:rPr>
                <w:rFonts w:ascii="仿宋_GB2312" w:hAnsi="仿宋_GB2312" w:cs="仿宋_GB2312" w:eastAsia="仿宋_GB2312"/>
              </w:rPr>
              <w:t>五、商务要求</w:t>
            </w:r>
          </w:p>
          <w:p>
            <w:pPr>
              <w:pStyle w:val="null3"/>
            </w:pPr>
            <w:r>
              <w:rPr>
                <w:rFonts w:ascii="仿宋_GB2312" w:hAnsi="仿宋_GB2312" w:cs="仿宋_GB2312" w:eastAsia="仿宋_GB2312"/>
              </w:rPr>
              <w:t>款项结算：</w:t>
            </w:r>
          </w:p>
          <w:p>
            <w:pPr>
              <w:pStyle w:val="null3"/>
            </w:pPr>
            <w:r>
              <w:rPr>
                <w:rFonts w:ascii="仿宋_GB2312" w:hAnsi="仿宋_GB2312" w:cs="仿宋_GB2312" w:eastAsia="仿宋_GB2312"/>
              </w:rPr>
              <w:t>（1）工程竣工验收后10个工作日内支付合同总价款65%；</w:t>
            </w:r>
          </w:p>
          <w:p>
            <w:pPr>
              <w:pStyle w:val="null3"/>
            </w:pPr>
            <w:r>
              <w:rPr>
                <w:rFonts w:ascii="仿宋_GB2312" w:hAnsi="仿宋_GB2312" w:cs="仿宋_GB2312" w:eastAsia="仿宋_GB2312"/>
              </w:rPr>
              <w:t>（2）审计结束后15个工作日内支付至审计价款的97%；</w:t>
            </w:r>
          </w:p>
          <w:p>
            <w:pPr>
              <w:pStyle w:val="null3"/>
            </w:pPr>
            <w:r>
              <w:rPr>
                <w:rFonts w:ascii="仿宋_GB2312" w:hAnsi="仿宋_GB2312" w:cs="仿宋_GB2312" w:eastAsia="仿宋_GB2312"/>
              </w:rPr>
              <w:t>（3）留审计决算价款3%的质保金，在缺陷责任期后7个工作日内支付。</w:t>
            </w:r>
          </w:p>
          <w:p>
            <w:pPr>
              <w:pStyle w:val="null3"/>
            </w:pPr>
            <w:r>
              <w:rPr>
                <w:rFonts w:ascii="仿宋_GB2312" w:hAnsi="仿宋_GB2312" w:cs="仿宋_GB2312" w:eastAsia="仿宋_GB2312"/>
              </w:rPr>
              <w:t>六、其他：</w:t>
            </w:r>
          </w:p>
          <w:p>
            <w:pPr>
              <w:pStyle w:val="null3"/>
            </w:pPr>
            <w:r>
              <w:rPr>
                <w:rFonts w:ascii="仿宋_GB2312" w:hAnsi="仿宋_GB2312" w:cs="仿宋_GB2312" w:eastAsia="仿宋_GB2312"/>
              </w:rPr>
              <w:t>（一）对供应商的业绩要求。</w:t>
            </w:r>
          </w:p>
          <w:p>
            <w:pPr>
              <w:pStyle w:val="null3"/>
            </w:pPr>
            <w:r>
              <w:rPr>
                <w:rFonts w:ascii="仿宋_GB2312" w:hAnsi="仿宋_GB2312" w:cs="仿宋_GB2312" w:eastAsia="仿宋_GB2312"/>
              </w:rPr>
              <w:t>1、投标人近三年具有同类装饰装修改造工程施工业绩，以合同及竣工验收报告为准。</w:t>
            </w:r>
          </w:p>
          <w:p>
            <w:pPr>
              <w:pStyle w:val="null3"/>
            </w:pPr>
            <w:r>
              <w:rPr>
                <w:rFonts w:ascii="仿宋_GB2312" w:hAnsi="仿宋_GB2312" w:cs="仿宋_GB2312" w:eastAsia="仿宋_GB2312"/>
              </w:rPr>
              <w:t>（二）质量验收标准或规范</w:t>
            </w:r>
          </w:p>
          <w:p>
            <w:pPr>
              <w:pStyle w:val="null3"/>
            </w:pPr>
            <w:r>
              <w:rPr>
                <w:rFonts w:ascii="仿宋_GB2312" w:hAnsi="仿宋_GB2312" w:cs="仿宋_GB2312" w:eastAsia="仿宋_GB2312"/>
              </w:rPr>
              <w:t>1.现行相关的专业工程施工质量验收规范、标准、规定，以及正常的施工方法、施工工艺等。</w:t>
            </w:r>
          </w:p>
          <w:p>
            <w:pPr>
              <w:pStyle w:val="null3"/>
            </w:pPr>
            <w:r>
              <w:rPr>
                <w:rFonts w:ascii="仿宋_GB2312" w:hAnsi="仿宋_GB2312" w:cs="仿宋_GB2312" w:eastAsia="仿宋_GB2312"/>
              </w:rPr>
              <w:t>2.与建设项目相关的法律、规范、标准等资料。</w:t>
            </w:r>
          </w:p>
          <w:p>
            <w:pPr>
              <w:pStyle w:val="null3"/>
            </w:pPr>
            <w:r>
              <w:rPr>
                <w:rFonts w:ascii="仿宋_GB2312" w:hAnsi="仿宋_GB2312" w:cs="仿宋_GB2312" w:eastAsia="仿宋_GB2312"/>
              </w:rPr>
              <w:t>（三）违约责任</w:t>
            </w:r>
          </w:p>
          <w:p>
            <w:pPr>
              <w:pStyle w:val="null3"/>
            </w:pPr>
            <w:r>
              <w:rPr>
                <w:rFonts w:ascii="仿宋_GB2312" w:hAnsi="仿宋_GB2312" w:cs="仿宋_GB2312" w:eastAsia="仿宋_GB2312"/>
              </w:rPr>
              <w:t>1、因采购人原因未完成工作，影响工期，工期顺延。</w:t>
            </w:r>
          </w:p>
          <w:p>
            <w:pPr>
              <w:pStyle w:val="null3"/>
            </w:pPr>
            <w:r>
              <w:rPr>
                <w:rFonts w:ascii="仿宋_GB2312" w:hAnsi="仿宋_GB2312" w:cs="仿宋_GB2312" w:eastAsia="仿宋_GB2312"/>
              </w:rPr>
              <w:t>2、因供应商原因未完成工作，影响工期，工期不顺延，因此对采购人造成的各项经济损失由供应商承担。</w:t>
            </w:r>
          </w:p>
          <w:p>
            <w:pPr>
              <w:pStyle w:val="null3"/>
            </w:pPr>
            <w:r>
              <w:rPr>
                <w:rFonts w:ascii="仿宋_GB2312" w:hAnsi="仿宋_GB2312" w:cs="仿宋_GB2312" w:eastAsia="仿宋_GB2312"/>
              </w:rPr>
              <w:t>（四）争议解决：执行过程中如发生纠纷，双方应尽可能协商解决，若协商不成时，可向项目所在地人民法院提起诉讼。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（一）工程量清单和计价依据 1、设计图纸及现场踏勘； 2、与建设项目相关的标准、规范等技术资料； 3、计价依据执行《建设工程工程量清单计价标准》（DB 61/T 5126—2025）；《陕西省建设工程费用规则》（2025）；《房屋建筑与装饰工程工程量计算标准》（DB 61/T 5129—2025）、《通用安装工程工程量计算标准》（DB 61/T 5130—2025）；《陕西省房屋建筑与装饰工程消耗量定额》（2025）、《陕西省通用安装工程消耗量定额》（2025）、《陕西省建设工程施工机械台班费用定额》（2025）、《陕西省建设工程施工仪器仪表台班费用定额》（2025）；《陕西省房屋建筑与装饰工程基价表》（2025）、《陕西省通用安装工程基价表》（2025）；现行相关的专业工程施工质量验收规范、标准、规定，以及正常的施工方法、施工工艺等；与建设项目相关的法律、规范、标准等资料； 4、清单软件：广联达计价软件GCCP7.0（版本号版本号7.5000.23.2） 5、投标报价需要报价包含图纸深化设计费用。 （二）工程量清单： 详见附件。 （三）图纸 详见附件。 （四）为顺利开展电子化采购线上开评标工作，投标人需要在线提交电子投标文件。同时成交供应商应在领取成交通知书前将纸质版投标文件递交至陕西省西安市高新区丈八五路高科尚都ONE尚城A座10F(纸质文件份数要求正本一份，副本二份（正副本装于同一个标袋，电子文件（光盘）2张，单独密封)，投标文件必须胶装成册、印鉴齐全并密封于标袋内）。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符合《政府采购促进中小企业发展管理办法》（财库〔2020〕46号）规定的小微企业（监狱企业视同小型、微型企业）应提供相应文件。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提供具有独立承担民事责任能力的法人或其他组织，提供合法有效的营业执照、税务登记证、组织机构代码证（三证合一的企业提供统一社会信用代码的营业执照）（原件的复印件加盖公章）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提供具有财务审计资质单位出具的2024年度审计报告或提供供应商基本存款账户信息及开标日期前90日内其基本存款账户开户银行出具的资信证明。以上形式的证明资料提供任何一种即可。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出具履行合同所必需的设备和专业技术能力的书面声明。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1.供应商近六个月内（投标截止时间前）任意1个月纳税证明材料：根据税务部门出具的完税凭证或纳税的银行转账汇款单、对账单等判定，如依法免税或不需要纳税的，提供相应证明材料。 2.供应商近六个月内（投标截止时间前）任意1个月缴纳社会保障金证明材料：根据银行转账汇款单或社保（税务）部门出具的缴纳社会保障金的凭证判定，证明材料应当显示险种和缴纳所属时期；不需要缴纳社会保障金的供应商，应当提供相关证明材料或书面声明。代缴社保证明材料不予认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信用查询.docx 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投标人满足法律、行政法规规定的其他条件的书面声明。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在投标前6个月内（不含投标当月）任意3个月由投标人缴纳社保证明材料的复印件</w:t>
            </w:r>
          </w:p>
        </w:tc>
        <w:tc>
          <w:tcPr>
            <w:tcW w:type="dxa" w:w="1661"/>
          </w:tcPr>
          <w:p>
            <w:pPr>
              <w:pStyle w:val="null3"/>
            </w:pPr>
            <w:r>
              <w:rPr>
                <w:rFonts w:ascii="仿宋_GB2312" w:hAnsi="仿宋_GB2312" w:cs="仿宋_GB2312" w:eastAsia="仿宋_GB2312"/>
              </w:rPr>
              <w:t>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与投标人为同一人或存在直接控股或管理关系的不同供应商，未参加同一包采购活动。 投标人为生产型企业的，与投标人生产场经营地址或注册登记地址为同一地址的其他生产型企业，未参加同一包采购活动。 投标人为非国有销售型企业的，与投标人以及股东和管理人员（法定代表人、董事或监事）之间存在近亲属（指夫妻、直系血亲、三代以内旁系血亲或近姻亲关系）或相互占股等关联关系的其他非国有销售型企业，也未参加同一包采购活动。投标人提供的业绩证明材料中，合同缔约方不存在控股或管理关系。</w:t>
            </w:r>
          </w:p>
        </w:tc>
        <w:tc>
          <w:tcPr>
            <w:tcW w:type="dxa" w:w="1661"/>
          </w:tcPr>
          <w:p>
            <w:pPr>
              <w:pStyle w:val="null3"/>
            </w:pPr>
            <w:r>
              <w:rPr>
                <w:rFonts w:ascii="仿宋_GB2312" w:hAnsi="仿宋_GB2312" w:cs="仿宋_GB2312" w:eastAsia="仿宋_GB2312"/>
              </w:rPr>
              <w:t>报价函 供应商应提交的相关资格证明材料 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本项目不接受由西安市红会医院职工及其亲属投资举办的企业参加投标(提供承诺函)</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供应商具备建筑工程施工总承包三级及以上资质，或具备建筑装修装饰工程专业承包二级及以上资质和建筑机电安装工程专业承包三级及以上资质，且具有有效的安全生产许可证（提供证明材料）；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拟派项目负责人资质与专业要求</w:t>
            </w:r>
          </w:p>
        </w:tc>
        <w:tc>
          <w:tcPr>
            <w:tcW w:type="dxa" w:w="3322"/>
          </w:tcPr>
          <w:p>
            <w:pPr>
              <w:pStyle w:val="null3"/>
            </w:pPr>
            <w:r>
              <w:rPr>
                <w:rFonts w:ascii="仿宋_GB2312" w:hAnsi="仿宋_GB2312" w:cs="仿宋_GB2312" w:eastAsia="仿宋_GB2312"/>
              </w:rPr>
              <w:t>1.项目经理具有建筑工程专业二级及以上注册建造师资格且具有有效的安全生产考核合格的B证书； 2.本单位注册且无在建项目（提供承诺书）；</w:t>
            </w:r>
          </w:p>
        </w:tc>
        <w:tc>
          <w:tcPr>
            <w:tcW w:type="dxa" w:w="1661"/>
          </w:tcPr>
          <w:p>
            <w:pPr>
              <w:pStyle w:val="null3"/>
            </w:pPr>
            <w:r>
              <w:rPr>
                <w:rFonts w:ascii="仿宋_GB2312" w:hAnsi="仿宋_GB2312" w:cs="仿宋_GB2312" w:eastAsia="仿宋_GB2312"/>
              </w:rPr>
              <w:t>项目管理机构组成表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1.施工方案总体说明</w:t>
            </w:r>
          </w:p>
        </w:tc>
        <w:tc>
          <w:tcPr>
            <w:tcW w:type="dxa" w:w="2492"/>
          </w:tcPr>
          <w:p>
            <w:pPr>
              <w:pStyle w:val="null3"/>
            </w:pPr>
            <w:r>
              <w:rPr>
                <w:rFonts w:ascii="仿宋_GB2312" w:hAnsi="仿宋_GB2312" w:cs="仿宋_GB2312" w:eastAsia="仿宋_GB2312"/>
              </w:rPr>
              <w:t>由磋商小组进行赋分，施工方案总体说明全面合理得5分，基本合理得4分，不够合理得3分，内容简单且方案不明确的得2分，未提供不得分。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2.确保工程质量的技术组织措施</w:t>
            </w:r>
          </w:p>
        </w:tc>
        <w:tc>
          <w:tcPr>
            <w:tcW w:type="dxa" w:w="2492"/>
          </w:tcPr>
          <w:p>
            <w:pPr>
              <w:pStyle w:val="null3"/>
            </w:pPr>
            <w:r>
              <w:rPr>
                <w:rFonts w:ascii="仿宋_GB2312" w:hAnsi="仿宋_GB2312" w:cs="仿宋_GB2312" w:eastAsia="仿宋_GB2312"/>
              </w:rPr>
              <w:t>由磋商小组进行赋分，工程质量的技术组织措施全面合理得5分，基本合理得4分，不够合理得3分，内容简单且方案不明确的得2分，未提供不得分。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3.确保安全生产的技术组织措施</w:t>
            </w:r>
          </w:p>
        </w:tc>
        <w:tc>
          <w:tcPr>
            <w:tcW w:type="dxa" w:w="2492"/>
          </w:tcPr>
          <w:p>
            <w:pPr>
              <w:pStyle w:val="null3"/>
            </w:pPr>
            <w:r>
              <w:rPr>
                <w:rFonts w:ascii="仿宋_GB2312" w:hAnsi="仿宋_GB2312" w:cs="仿宋_GB2312" w:eastAsia="仿宋_GB2312"/>
              </w:rPr>
              <w:t>由磋商小组进行赋分，安全生产的技术组织措施全面合理得5分，基本合理得4分，不够合理得3分，内容简单且方案不明确的得2分，未提供不得分。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4.确保文明施工的技术组织措施及环境保护措</w:t>
            </w:r>
          </w:p>
        </w:tc>
        <w:tc>
          <w:tcPr>
            <w:tcW w:type="dxa" w:w="2492"/>
          </w:tcPr>
          <w:p>
            <w:pPr>
              <w:pStyle w:val="null3"/>
            </w:pPr>
            <w:r>
              <w:rPr>
                <w:rFonts w:ascii="仿宋_GB2312" w:hAnsi="仿宋_GB2312" w:cs="仿宋_GB2312" w:eastAsia="仿宋_GB2312"/>
              </w:rPr>
              <w:t>由磋商小组进行赋分，文明施工的技术组织措施及环境保护措全面合理得5分，基本合理得4分，不够合理得3分，内容简单且方案不明确的得2分，未提供不得分。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5.项目经理部组成人员</w:t>
            </w:r>
          </w:p>
        </w:tc>
        <w:tc>
          <w:tcPr>
            <w:tcW w:type="dxa" w:w="2492"/>
          </w:tcPr>
          <w:p>
            <w:pPr>
              <w:pStyle w:val="null3"/>
            </w:pPr>
            <w:r>
              <w:rPr>
                <w:rFonts w:ascii="仿宋_GB2312" w:hAnsi="仿宋_GB2312" w:cs="仿宋_GB2312" w:eastAsia="仿宋_GB2312"/>
              </w:rPr>
              <w:t>由磋商小组进行赋分，团队人员应当包括项目经理、技术负责人、施工员、质量员（或质检员）、材料员、机械员、资料员、安全员，每缺少一名人员扣1分，扣完为止。团队人员须提供响应岗位证书，所持证书须符合《住房和城乡建设部办公厅关于推进住房和城乡建设领域施工现场专业人员职业培训工作的通知》（建办人函〔2019〕384号）要求，否则视为无效证书。</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6.施工机械配备和材料投入计划</w:t>
            </w:r>
          </w:p>
        </w:tc>
        <w:tc>
          <w:tcPr>
            <w:tcW w:type="dxa" w:w="2492"/>
          </w:tcPr>
          <w:p>
            <w:pPr>
              <w:pStyle w:val="null3"/>
            </w:pPr>
            <w:r>
              <w:rPr>
                <w:rFonts w:ascii="仿宋_GB2312" w:hAnsi="仿宋_GB2312" w:cs="仿宋_GB2312" w:eastAsia="仿宋_GB2312"/>
              </w:rPr>
              <w:t>由磋商小组进行赋分，施工机械配备和材料投入计划全面合理得5分，基本合理得4分，不够合理得3分，内容简单且方案不明确的得2分，未提供不得分。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7.施工进度表或施工网络图</w:t>
            </w:r>
          </w:p>
        </w:tc>
        <w:tc>
          <w:tcPr>
            <w:tcW w:type="dxa" w:w="2492"/>
          </w:tcPr>
          <w:p>
            <w:pPr>
              <w:pStyle w:val="null3"/>
            </w:pPr>
            <w:r>
              <w:rPr>
                <w:rFonts w:ascii="仿宋_GB2312" w:hAnsi="仿宋_GB2312" w:cs="仿宋_GB2312" w:eastAsia="仿宋_GB2312"/>
              </w:rPr>
              <w:t>由磋商小组进行赋分，施工进度表或施工网络图全面合理得5分，基本合理得4分，不够合理得3分，内容简单且方案不明确的得2分，未提供不得分。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8.劳动力安排计划及劳务分包情况表</w:t>
            </w:r>
          </w:p>
        </w:tc>
        <w:tc>
          <w:tcPr>
            <w:tcW w:type="dxa" w:w="2492"/>
          </w:tcPr>
          <w:p>
            <w:pPr>
              <w:pStyle w:val="null3"/>
            </w:pPr>
            <w:r>
              <w:rPr>
                <w:rFonts w:ascii="仿宋_GB2312" w:hAnsi="仿宋_GB2312" w:cs="仿宋_GB2312" w:eastAsia="仿宋_GB2312"/>
              </w:rPr>
              <w:t>由磋商小组进行赋分，劳动力安排计划及劳务分包情况表全面合理得5分，基本合理得4分，不够合理得3分，内容简单且方案不明确的得2分，未提供不得分。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9.施工总平面布置图</w:t>
            </w:r>
          </w:p>
        </w:tc>
        <w:tc>
          <w:tcPr>
            <w:tcW w:type="dxa" w:w="2492"/>
          </w:tcPr>
          <w:p>
            <w:pPr>
              <w:pStyle w:val="null3"/>
            </w:pPr>
            <w:r>
              <w:rPr>
                <w:rFonts w:ascii="仿宋_GB2312" w:hAnsi="仿宋_GB2312" w:cs="仿宋_GB2312" w:eastAsia="仿宋_GB2312"/>
              </w:rPr>
              <w:t>由磋商小组进行赋分，施工总平面布置图全面合理得5分，基本合理得4分，不够合理得3分，内容简单且方案不明确的得2分，未提供不得分。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10.新技术、新产品、新工艺、新材料应用</w:t>
            </w:r>
          </w:p>
        </w:tc>
        <w:tc>
          <w:tcPr>
            <w:tcW w:type="dxa" w:w="2492"/>
          </w:tcPr>
          <w:p>
            <w:pPr>
              <w:pStyle w:val="null3"/>
            </w:pPr>
            <w:r>
              <w:rPr>
                <w:rFonts w:ascii="仿宋_GB2312" w:hAnsi="仿宋_GB2312" w:cs="仿宋_GB2312" w:eastAsia="仿宋_GB2312"/>
              </w:rPr>
              <w:t>由磋商小组进行赋分，新技术、新产品、新工艺、新材料应用全面合理得5分，基本合理得4分，不够合理得3分，内容简单且方案不明确的得2分，未提供不得分。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1日至响应截止时间（以合同签订时间为准）类似项目业绩，每提供一个业绩得1分，满分10分。评审依据：以加盖公章的业绩合同复印件及竣工验收报告为准，合同至少需包含合同首页、产品页、签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满足采购文件要求且有效响应文件的最后报价的最低报价为评审基准价，其价格分为满分。其他供应商的价格分统一按照下列公式计算：投标报价得分=（评标基准价/最后报价）×40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已标价工程量清单</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详见附件：信用查询.docx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