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版本号：HRC-ZBDL-2025-0189420251218001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院区运转保障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HRC-ZBDL-2025-01894</w:t>
      </w:r>
      <w:r>
        <w:br/>
      </w:r>
      <w:r>
        <w:br/>
      </w:r>
      <w:r>
        <w:br/>
      </w:r>
    </w:p>
    <w:p>
      <w:pPr>
        <w:pStyle w:val="null3"/>
        <w:jc w:val="center"/>
        <w:outlineLvl w:val="2"/>
      </w:pPr>
      <w:r>
        <w:rPr>
          <w:rFonts w:ascii="仿宋_GB2312" w:hAnsi="仿宋_GB2312" w:cs="仿宋_GB2312" w:eastAsia="仿宋_GB2312"/>
          <w:sz w:val="28"/>
          <w:b/>
        </w:rPr>
        <w:t>西安市公共卫生中心（西安市应急医疗中心）</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西安市公共卫生中心（西安市应急医疗中心）</w:t>
      </w:r>
      <w:r>
        <w:rPr>
          <w:rFonts w:ascii="仿宋_GB2312" w:hAnsi="仿宋_GB2312" w:cs="仿宋_GB2312" w:eastAsia="仿宋_GB2312"/>
        </w:rPr>
        <w:t>委托，拟对</w:t>
      </w:r>
      <w:r>
        <w:rPr>
          <w:rFonts w:ascii="仿宋_GB2312" w:hAnsi="仿宋_GB2312" w:cs="仿宋_GB2312" w:eastAsia="仿宋_GB2312"/>
        </w:rPr>
        <w:t>院区运转保障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HRC-ZBDL-2025-01894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院区运转保障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目前我中心实际用地约为139亩，1幢办公楼、2幢宿舍楼，停车场、活动室、室外卫生等部位都需要后勤保障服务。运维方面日常工作，全院用水、用电、空调、发电机加油及日常维护；保洁方面日常工作，打扫卫生间、会议室、门窗、过道等公共区域卫生；安防方面日常工作，门岗执勤、巡逻、安全防范、设备设施的安全保卫等后勤相关工作。以上总人数暂定8人，年度预算600,000.00元，每月据实结算，如遇医院搬迁或合并等重大事宜合同内容另行协商或者终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采购包1（院区运转保障）：属于专门面向中小企业采购。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1、营业执照等主体资格证明文件：提供合法注册的法人应提供营业执照（或事业法人证）、组织机构代码证、税务登记证或统一社会信用代码的营业执照或其他组织应提供合法证明文件或自然人提供身份证件。</w:t>
      </w:r>
    </w:p>
    <w:p>
      <w:pPr>
        <w:pStyle w:val="null3"/>
      </w:pPr>
      <w:r>
        <w:rPr>
          <w:rFonts w:ascii="仿宋_GB2312" w:hAnsi="仿宋_GB2312" w:cs="仿宋_GB2312" w:eastAsia="仿宋_GB2312"/>
        </w:rPr>
        <w:t>2、财务状况报告：提供2023年或2024年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3、税收缴纳证明：提供2023年度1月至今已缴纳的至少一个月的纳税证明（银行缴费凭证）或完税证明，依法免税的单位应提供相关证明材料。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2023年度1月至今已缴存的至少一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6、授权委托书：法定代表人直接参加投标的，须出具法定代表人身份证，并与营业执照上信息一致；法定代表人授权代表参加投标的，须出具法定代表人授权书及授权代表身份证。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7、供应商履约能力：提供具有履行本合同所必需的设备和专业技术能力的声明。</w:t>
      </w:r>
    </w:p>
    <w:p>
      <w:pPr>
        <w:pStyle w:val="null3"/>
      </w:pPr>
      <w:r>
        <w:rPr>
          <w:rFonts w:ascii="仿宋_GB2312" w:hAnsi="仿宋_GB2312" w:cs="仿宋_GB2312" w:eastAsia="仿宋_GB2312"/>
        </w:rPr>
        <w:t>8、信用查询：供应商不得为“信用中国”网站（www.creditchina.gov.cn）中列入“失信被执行人”（中国执行信息公开网http://zxgk.court.gov.cn/shixin）和“重大税收违法失信主体”，不得为中国政府采购网（www.ccgp.gov.cn）政府采购“严重违法失信行为信息记录”中被财政部门禁止参加政府采购活动的供应商。 （信用记录由采购代理机构在响应文件资格审查阶段通过互联网或者相关系统查询，供应商可不提供。对信用查询结果不符合的供应商，采购人和采购代理机构将拒绝其参与政府采购活动，查询结果以纸质方式留存）</w:t>
      </w:r>
    </w:p>
    <w:p>
      <w:pPr>
        <w:pStyle w:val="null3"/>
      </w:pPr>
      <w:r>
        <w:rPr>
          <w:rFonts w:ascii="仿宋_GB2312" w:hAnsi="仿宋_GB2312" w:cs="仿宋_GB2312" w:eastAsia="仿宋_GB2312"/>
        </w:rPr>
        <w:t>9、非联合体投标：本项目不接受联合体招标，单位负责人为同一人或者存在直接控股、管理关系的不同供应商，不得参加同一合同项下的政府采购活动。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西安市公共卫生中心（西安市应急医疗中心）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西安市高陵区渭阳大道5588号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支玉峰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13891938361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张婷 王琛 闫永宁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17765015926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张宏生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中标（成交）供应商的中标（成交）金额为基数，按照《国家计委关于印发&lt;招标代理服务收费管理暂行办法&gt;的通知》(计价格(2002〕1980号)、《国家发展改革委办公厅关于招标代理服务收费有关问题的通知》(发改办价格(2003〕857号)规定，由中标（成交）供应商向受托方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西安市公共卫生中心（西安市应急医疗中心）</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西安市公共卫生中心（西安市应急医疗中心）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西安市公共卫生中心（西安市应急医疗中心）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联系人：张婷 王琛 闫永宁</w:t>
      </w:r>
    </w:p>
    <w:p>
      <w:pPr>
        <w:pStyle w:val="null3"/>
      </w:pPr>
      <w:r>
        <w:rPr>
          <w:rFonts w:ascii="仿宋_GB2312" w:hAnsi="仿宋_GB2312" w:cs="仿宋_GB2312" w:eastAsia="仿宋_GB2312"/>
        </w:rPr>
        <w:t>联系电话：18309268410</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目前我中心实际用地约为139亩，1幢办公楼、2幢宿舍楼，停车场、活动室、室外卫生等部位都需要后勤保障服务。运维方面日常工作，全院用水、用电、空调、发电机加油及日常维护；保洁方面日常工作，打扫卫生间、会议室、门窗、过道等公共区域卫生；安防方面日常工作，门岗执勤、巡逻、安全防范、设备设施的安全保卫等后勤相关工作。以上总人数暂定8人，年度预算600000元，每月据实结算，如遇医院搬迁或合并等重大事宜合同内容另行协商或者终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院区运转保障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标的名称：院区运转保障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b/>
              </w:rPr>
              <w:t>一、</w:t>
            </w:r>
            <w:r>
              <w:rPr>
                <w:rFonts w:ascii="仿宋_GB2312" w:hAnsi="仿宋_GB2312" w:cs="仿宋_GB2312" w:eastAsia="仿宋_GB2312"/>
                <w:b/>
              </w:rPr>
              <w:t>项目概况</w:t>
            </w:r>
          </w:p>
          <w:p>
            <w:pPr>
              <w:pStyle w:val="null3"/>
              <w:jc w:val="both"/>
            </w:pPr>
            <w:r>
              <w:rPr>
                <w:rFonts w:ascii="仿宋_GB2312" w:hAnsi="仿宋_GB2312" w:cs="仿宋_GB2312" w:eastAsia="仿宋_GB2312"/>
              </w:rPr>
              <w:t>目前我中心实</w:t>
            </w:r>
            <w:r>
              <w:rPr>
                <w:rFonts w:ascii="仿宋_GB2312" w:hAnsi="仿宋_GB2312" w:cs="仿宋_GB2312" w:eastAsia="仿宋_GB2312"/>
              </w:rPr>
              <w:t>际用地约为</w:t>
            </w:r>
            <w:r>
              <w:rPr>
                <w:rFonts w:ascii="仿宋_GB2312" w:hAnsi="仿宋_GB2312" w:cs="仿宋_GB2312" w:eastAsia="仿宋_GB2312"/>
              </w:rPr>
              <w:t>139亩，1幢办公楼、2幢宿舍楼，停车场、活动室、室外卫生等部位都需要后勤保障服务。运维方面日常工作，全院用水、用电、空调、发电机加油及日常维护；保洁方面日常工作，打扫卫生间、会议室、门窗、过道等公共区域卫生；安防方面日常工作，门岗执勤、巡逻、安全防范、设备设施的安全保卫等后勤相关工作。以上总人数暂定8人，年度预算600,000.00</w:t>
            </w:r>
            <w:r>
              <w:rPr>
                <w:rFonts w:ascii="仿宋_GB2312" w:hAnsi="仿宋_GB2312" w:cs="仿宋_GB2312" w:eastAsia="仿宋_GB2312"/>
              </w:rPr>
              <w:t>元</w:t>
            </w:r>
            <w:r>
              <w:rPr>
                <w:rFonts w:ascii="仿宋_GB2312" w:hAnsi="仿宋_GB2312" w:cs="仿宋_GB2312" w:eastAsia="仿宋_GB2312"/>
              </w:rPr>
              <w:t>，</w:t>
            </w:r>
            <w:r>
              <w:rPr>
                <w:rFonts w:ascii="仿宋_GB2312" w:hAnsi="仿宋_GB2312" w:cs="仿宋_GB2312" w:eastAsia="仿宋_GB2312"/>
              </w:rPr>
              <w:t>每月据实结算，如遇医院搬迁或合并等重大事宜合同内容另行协商或者终止。</w:t>
            </w:r>
          </w:p>
          <w:p>
            <w:pPr>
              <w:pStyle w:val="null3"/>
              <w:jc w:val="both"/>
            </w:pPr>
            <w:r>
              <w:rPr>
                <w:rFonts w:ascii="仿宋_GB2312" w:hAnsi="仿宋_GB2312" w:cs="仿宋_GB2312" w:eastAsia="仿宋_GB2312"/>
                <w:b/>
              </w:rPr>
              <w:t>二、服务内容</w:t>
            </w:r>
          </w:p>
          <w:p>
            <w:pPr>
              <w:pStyle w:val="null3"/>
              <w:jc w:val="both"/>
            </w:pPr>
            <w:r>
              <w:rPr>
                <w:rFonts w:ascii="仿宋_GB2312" w:hAnsi="仿宋_GB2312" w:cs="仿宋_GB2312" w:eastAsia="仿宋_GB2312"/>
              </w:rPr>
              <w:t>1.</w:t>
            </w:r>
            <w:r>
              <w:rPr>
                <w:rFonts w:ascii="仿宋_GB2312" w:hAnsi="仿宋_GB2312" w:cs="仿宋_GB2312" w:eastAsia="仿宋_GB2312"/>
              </w:rPr>
              <w:t>甲方对岗位设置和管理工作具有直接指挥权和决定权。</w:t>
            </w:r>
          </w:p>
          <w:p>
            <w:pPr>
              <w:pStyle w:val="null3"/>
              <w:jc w:val="both"/>
            </w:pPr>
            <w:r>
              <w:rPr>
                <w:rFonts w:ascii="仿宋_GB2312" w:hAnsi="仿宋_GB2312" w:cs="仿宋_GB2312" w:eastAsia="仿宋_GB2312"/>
              </w:rPr>
              <w:t>2.运维方面：</w:t>
            </w:r>
            <w:r>
              <w:rPr>
                <w:rFonts w:ascii="仿宋_GB2312" w:hAnsi="仿宋_GB2312" w:cs="仿宋_GB2312" w:eastAsia="仿宋_GB2312"/>
              </w:rPr>
              <w:t>甲方高低压电器设施、线路运行、维护、巡检；全院生活用水设施、管路运行、维护、巡检；全院医用水、污水设施、管路运行、维护、巡检；全院小型五金、木器维修；全院空调系统（含普通空调系统、洁净空调系统及负压空调系统）运行、维护、维修、巡检、过滤网清洗；全院发电机组运行、维护、巡检；全院其他设施维护、维修</w:t>
            </w:r>
            <w:r>
              <w:rPr>
                <w:rFonts w:ascii="仿宋_GB2312" w:hAnsi="仿宋_GB2312" w:cs="仿宋_GB2312" w:eastAsia="仿宋_GB2312"/>
              </w:rPr>
              <w:t>；</w:t>
            </w:r>
            <w:r>
              <w:rPr>
                <w:rFonts w:ascii="仿宋_GB2312" w:hAnsi="仿宋_GB2312" w:cs="仿宋_GB2312" w:eastAsia="仿宋_GB2312"/>
              </w:rPr>
              <w:t>每月</w:t>
            </w:r>
            <w:r>
              <w:rPr>
                <w:rFonts w:ascii="仿宋_GB2312" w:hAnsi="仿宋_GB2312" w:cs="仿宋_GB2312" w:eastAsia="仿宋_GB2312"/>
              </w:rPr>
              <w:t>1000元以内辅材费用由乙方自行承担，超过1000元的由甲方承担</w:t>
            </w:r>
            <w:r>
              <w:rPr>
                <w:rFonts w:ascii="仿宋_GB2312" w:hAnsi="仿宋_GB2312" w:cs="仿宋_GB2312" w:eastAsia="仿宋_GB2312"/>
              </w:rPr>
              <w:t>。</w:t>
            </w:r>
          </w:p>
          <w:p>
            <w:pPr>
              <w:pStyle w:val="null3"/>
              <w:jc w:val="both"/>
            </w:pPr>
            <w:r>
              <w:rPr>
                <w:rFonts w:ascii="仿宋_GB2312" w:hAnsi="仿宋_GB2312" w:cs="仿宋_GB2312" w:eastAsia="仿宋_GB2312"/>
              </w:rPr>
              <w:t>3.保洁方面</w:t>
            </w:r>
            <w:r>
              <w:rPr>
                <w:rFonts w:ascii="仿宋_GB2312" w:hAnsi="仿宋_GB2312" w:cs="仿宋_GB2312" w:eastAsia="仿宋_GB2312"/>
              </w:rPr>
              <w:t>：院区道路、绿化带、停车场、行政办公区、生活区楼层及洗漱间、淋浴间、厕所、室内外卫生保洁</w:t>
            </w:r>
            <w:r>
              <w:rPr>
                <w:rFonts w:ascii="仿宋_GB2312" w:hAnsi="仿宋_GB2312" w:cs="仿宋_GB2312" w:eastAsia="仿宋_GB2312"/>
              </w:rPr>
              <w:t>。</w:t>
            </w:r>
          </w:p>
          <w:p>
            <w:pPr>
              <w:pStyle w:val="null3"/>
              <w:jc w:val="both"/>
            </w:pPr>
            <w:r>
              <w:rPr>
                <w:rFonts w:ascii="仿宋_GB2312" w:hAnsi="仿宋_GB2312" w:cs="仿宋_GB2312" w:eastAsia="仿宋_GB2312"/>
              </w:rPr>
              <w:t>4.安防方面：</w:t>
            </w:r>
            <w:r>
              <w:rPr>
                <w:rFonts w:ascii="仿宋_GB2312" w:hAnsi="仿宋_GB2312" w:cs="仿宋_GB2312" w:eastAsia="仿宋_GB2312"/>
              </w:rPr>
              <w:t>维护</w:t>
            </w:r>
            <w:r>
              <w:rPr>
                <w:rFonts w:ascii="仿宋_GB2312" w:hAnsi="仿宋_GB2312" w:cs="仿宋_GB2312" w:eastAsia="仿宋_GB2312"/>
              </w:rPr>
              <w:t>院区</w:t>
            </w:r>
            <w:r>
              <w:rPr>
                <w:rFonts w:ascii="仿宋_GB2312" w:hAnsi="仿宋_GB2312" w:cs="仿宋_GB2312" w:eastAsia="仿宋_GB2312"/>
              </w:rPr>
              <w:t>正常秩序，负责医院大门门岗执勤、消防控制室、安全防范、</w:t>
            </w:r>
            <w:r>
              <w:rPr>
                <w:rFonts w:ascii="仿宋_GB2312" w:hAnsi="仿宋_GB2312" w:cs="仿宋_GB2312" w:eastAsia="仿宋_GB2312"/>
              </w:rPr>
              <w:t>处突维稳</w:t>
            </w:r>
            <w:r>
              <w:rPr>
                <w:rFonts w:ascii="仿宋_GB2312" w:hAnsi="仿宋_GB2312" w:cs="仿宋_GB2312" w:eastAsia="仿宋_GB2312"/>
              </w:rPr>
              <w:t>、停车场管理等相关工作，应对突发事件以及</w:t>
            </w:r>
            <w:r>
              <w:rPr>
                <w:rFonts w:ascii="仿宋_GB2312" w:hAnsi="仿宋_GB2312" w:cs="仿宋_GB2312" w:eastAsia="仿宋_GB2312"/>
              </w:rPr>
              <w:t>人员</w:t>
            </w:r>
            <w:r>
              <w:rPr>
                <w:rFonts w:ascii="仿宋_GB2312" w:hAnsi="仿宋_GB2312" w:cs="仿宋_GB2312" w:eastAsia="仿宋_GB2312"/>
              </w:rPr>
              <w:t>财产安全，确保医院安全无事故发生。</w:t>
            </w:r>
          </w:p>
          <w:p>
            <w:pPr>
              <w:pStyle w:val="null3"/>
              <w:jc w:val="both"/>
            </w:pPr>
            <w:r>
              <w:rPr>
                <w:rFonts w:ascii="仿宋_GB2312" w:hAnsi="仿宋_GB2312" w:cs="仿宋_GB2312" w:eastAsia="仿宋_GB2312"/>
              </w:rPr>
              <w:t>5.</w:t>
            </w:r>
            <w:r>
              <w:rPr>
                <w:rFonts w:ascii="仿宋_GB2312" w:hAnsi="仿宋_GB2312" w:cs="仿宋_GB2312" w:eastAsia="仿宋_GB2312"/>
              </w:rPr>
              <w:t>服务费包含人员薪酬、延时加班费、双休加班费、法定节假日加班费、遇突发重大应急加班费、人员食宿、制服、寝具、雨具、通讯设备、电筒、安全措施费用等乙方履行本协议所需一切费用</w:t>
            </w:r>
            <w:r>
              <w:rPr>
                <w:rFonts w:ascii="仿宋_GB2312" w:hAnsi="仿宋_GB2312" w:cs="仿宋_GB2312" w:eastAsia="仿宋_GB2312"/>
              </w:rPr>
              <w:t>。</w:t>
            </w:r>
          </w:p>
          <w:p>
            <w:pPr>
              <w:pStyle w:val="null3"/>
              <w:jc w:val="both"/>
            </w:pPr>
            <w:r>
              <w:rPr>
                <w:rFonts w:ascii="仿宋_GB2312" w:hAnsi="仿宋_GB2312" w:cs="仿宋_GB2312" w:eastAsia="仿宋_GB2312"/>
                <w:b/>
              </w:rPr>
              <w:t>三、</w:t>
            </w:r>
            <w:r>
              <w:rPr>
                <w:rFonts w:ascii="仿宋_GB2312" w:hAnsi="仿宋_GB2312" w:cs="仿宋_GB2312" w:eastAsia="仿宋_GB2312"/>
                <w:b/>
              </w:rPr>
              <w:t>技术</w:t>
            </w:r>
            <w:r>
              <w:rPr>
                <w:rFonts w:ascii="仿宋_GB2312" w:hAnsi="仿宋_GB2312" w:cs="仿宋_GB2312" w:eastAsia="仿宋_GB2312"/>
                <w:b/>
              </w:rPr>
              <w:t>要求</w:t>
            </w:r>
          </w:p>
          <w:p>
            <w:pPr>
              <w:pStyle w:val="null3"/>
              <w:jc w:val="both"/>
            </w:pPr>
            <w:r>
              <w:rPr>
                <w:rFonts w:ascii="仿宋_GB2312" w:hAnsi="仿宋_GB2312" w:cs="仿宋_GB2312" w:eastAsia="仿宋_GB2312"/>
              </w:rPr>
              <w:t>1.乙方必须严格遵守国家有关劳动法律法规政策的规定，合法用工。</w:t>
            </w:r>
          </w:p>
          <w:p>
            <w:pPr>
              <w:pStyle w:val="null3"/>
              <w:jc w:val="both"/>
            </w:pPr>
            <w:r>
              <w:rPr>
                <w:rFonts w:ascii="仿宋_GB2312" w:hAnsi="仿宋_GB2312" w:cs="仿宋_GB2312" w:eastAsia="仿宋_GB2312"/>
              </w:rPr>
              <w:t>2.乙方须与其派驻采购人的所有工作人员需持二级以上医院健康体检表（如患有冠心病、高血压、糖尿病、皮肤病、器质性病变等疾病不得入职，不得隐瞒病史）。</w:t>
            </w:r>
          </w:p>
          <w:p>
            <w:pPr>
              <w:pStyle w:val="null3"/>
              <w:jc w:val="both"/>
            </w:pPr>
            <w:r>
              <w:rPr>
                <w:rFonts w:ascii="仿宋_GB2312" w:hAnsi="仿宋_GB2312" w:cs="仿宋_GB2312" w:eastAsia="仿宋_GB2312"/>
              </w:rPr>
              <w:t>3.乙方须与其派驻甲方的所有工作人员签订劳动合同，购买社会保险等。</w:t>
            </w:r>
          </w:p>
          <w:p>
            <w:pPr>
              <w:pStyle w:val="null3"/>
              <w:jc w:val="both"/>
            </w:pPr>
            <w:r>
              <w:rPr>
                <w:rFonts w:ascii="仿宋_GB2312" w:hAnsi="仿宋_GB2312" w:cs="仿宋_GB2312" w:eastAsia="仿宋_GB2312"/>
              </w:rPr>
              <w:t>4.乙方派遣工作人员必须遵守甲方各项规章制度，在工作中采取必需的一切安全防护措施，以保障员工的劳动安全，严格遵守国家有关安全作业制度和规定，按照安全规程操作作业。</w:t>
            </w:r>
          </w:p>
          <w:p>
            <w:pPr>
              <w:pStyle w:val="null3"/>
              <w:jc w:val="both"/>
            </w:pPr>
            <w:r>
              <w:rPr>
                <w:rFonts w:ascii="仿宋_GB2312" w:hAnsi="仿宋_GB2312" w:cs="仿宋_GB2312" w:eastAsia="仿宋_GB2312"/>
              </w:rPr>
              <w:t>5.乙方必须保证提供的全部资料及信息真实可靠，如提供虚假信息和资料给甲方造成损失全部由乙方承担。</w:t>
            </w:r>
          </w:p>
          <w:p>
            <w:pPr>
              <w:pStyle w:val="null3"/>
              <w:jc w:val="both"/>
            </w:pPr>
            <w:r>
              <w:rPr>
                <w:rFonts w:ascii="仿宋_GB2312" w:hAnsi="仿宋_GB2312" w:cs="仿宋_GB2312" w:eastAsia="仿宋_GB2312"/>
              </w:rPr>
              <w:t>6.乙方工作人员在工作中如发生安全事故或者做出违法、违章行为，其后果由乙方承担，给甲方造成损失，由乙方承担全部责任和费用。</w:t>
            </w:r>
          </w:p>
          <w:p>
            <w:pPr>
              <w:pStyle w:val="null3"/>
              <w:jc w:val="both"/>
            </w:pPr>
            <w:r>
              <w:rPr>
                <w:rFonts w:ascii="仿宋_GB2312" w:hAnsi="仿宋_GB2312" w:cs="仿宋_GB2312" w:eastAsia="仿宋_GB2312"/>
              </w:rPr>
              <w:t>7.乙方在履行合同过程中，给甲方或第三方造成人身或财产损失的，由乙方承担全部责任及赔偿。</w:t>
            </w:r>
          </w:p>
          <w:p>
            <w:pPr>
              <w:pStyle w:val="null3"/>
              <w:jc w:val="both"/>
            </w:pPr>
            <w:r>
              <w:rPr>
                <w:rFonts w:ascii="仿宋_GB2312" w:hAnsi="仿宋_GB2312" w:cs="仿宋_GB2312" w:eastAsia="仿宋_GB2312"/>
              </w:rPr>
              <w:t>8.电工人员需提供相应的高、低压电工证。</w:t>
            </w:r>
          </w:p>
          <w:p>
            <w:pPr>
              <w:pStyle w:val="null3"/>
              <w:jc w:val="both"/>
            </w:pPr>
            <w:r>
              <w:rPr>
                <w:rFonts w:ascii="仿宋_GB2312" w:hAnsi="仿宋_GB2312" w:cs="仿宋_GB2312" w:eastAsia="仿宋_GB2312"/>
                <w:b/>
              </w:rPr>
              <w:t>四、服务要求</w:t>
            </w:r>
          </w:p>
          <w:p>
            <w:pPr>
              <w:pStyle w:val="null3"/>
              <w:jc w:val="both"/>
            </w:pPr>
            <w:r>
              <w:rPr>
                <w:rFonts w:ascii="仿宋_GB2312" w:hAnsi="仿宋_GB2312" w:cs="仿宋_GB2312" w:eastAsia="仿宋_GB2312"/>
              </w:rPr>
              <w:t>（一）人员配置</w:t>
            </w:r>
          </w:p>
          <w:p>
            <w:pPr>
              <w:pStyle w:val="null3"/>
              <w:jc w:val="both"/>
            </w:pPr>
            <w:r>
              <w:rPr>
                <w:rFonts w:ascii="仿宋_GB2312" w:hAnsi="仿宋_GB2312" w:cs="仿宋_GB2312" w:eastAsia="仿宋_GB2312"/>
              </w:rPr>
              <w:t>暂定人员：运维人员</w:t>
            </w:r>
            <w:r>
              <w:rPr>
                <w:rFonts w:ascii="仿宋_GB2312" w:hAnsi="仿宋_GB2312" w:cs="仿宋_GB2312" w:eastAsia="仿宋_GB2312"/>
              </w:rPr>
              <w:t>2人，至少一人持高压职业证书，一人持低压职业证书；保洁人员2人；保安人员4人，至少两人持中级消防设施监控操作证。人员年龄20-60周岁。以上总人数暂定8人，每月据实结算，如遇医院搬迁或合并等重大事宜合同内容另行协商或者甲方有权单方终止。</w:t>
            </w:r>
          </w:p>
          <w:p>
            <w:pPr>
              <w:pStyle w:val="null3"/>
              <w:jc w:val="both"/>
            </w:pPr>
            <w:r>
              <w:rPr>
                <w:rFonts w:ascii="仿宋_GB2312" w:hAnsi="仿宋_GB2312" w:cs="仿宋_GB2312" w:eastAsia="仿宋_GB2312"/>
              </w:rPr>
              <w:t>（二）专业设备</w:t>
            </w:r>
          </w:p>
          <w:p>
            <w:pPr>
              <w:pStyle w:val="null3"/>
              <w:jc w:val="both"/>
            </w:pPr>
            <w:r>
              <w:rPr>
                <w:rFonts w:ascii="仿宋_GB2312" w:hAnsi="仿宋_GB2312" w:cs="仿宋_GB2312" w:eastAsia="仿宋_GB2312"/>
              </w:rPr>
              <w:t>中标服务商必须提供以下设备及物品：</w:t>
            </w:r>
          </w:p>
          <w:p>
            <w:pPr>
              <w:pStyle w:val="null3"/>
              <w:jc w:val="both"/>
            </w:pPr>
            <w:r>
              <w:rPr>
                <w:rFonts w:ascii="仿宋_GB2312" w:hAnsi="仿宋_GB2312" w:cs="仿宋_GB2312" w:eastAsia="仿宋_GB2312"/>
              </w:rPr>
              <w:t>1.维修工具、维修辅材等相关物资。</w:t>
            </w:r>
          </w:p>
          <w:p>
            <w:pPr>
              <w:pStyle w:val="null3"/>
              <w:jc w:val="both"/>
            </w:pPr>
            <w:r>
              <w:rPr>
                <w:rFonts w:ascii="仿宋_GB2312" w:hAnsi="仿宋_GB2312" w:cs="仿宋_GB2312" w:eastAsia="仿宋_GB2312"/>
              </w:rPr>
              <w:t>2.保洁工具，扫把、拖把、锨、耙、喷雾器、喷壶等相关清扫工具。</w:t>
            </w:r>
          </w:p>
          <w:p>
            <w:pPr>
              <w:pStyle w:val="null3"/>
              <w:jc w:val="both"/>
            </w:pPr>
            <w:r>
              <w:rPr>
                <w:rFonts w:ascii="仿宋_GB2312" w:hAnsi="仿宋_GB2312" w:cs="仿宋_GB2312" w:eastAsia="仿宋_GB2312"/>
              </w:rPr>
              <w:t>3.安防方面，两轮巡逻车、防爆盾牌、钢叉等相关防爆物资。</w:t>
            </w:r>
          </w:p>
          <w:p>
            <w:pPr>
              <w:pStyle w:val="null3"/>
              <w:jc w:val="both"/>
            </w:pPr>
            <w:r>
              <w:rPr>
                <w:rFonts w:ascii="仿宋_GB2312" w:hAnsi="仿宋_GB2312" w:cs="仿宋_GB2312" w:eastAsia="仿宋_GB2312"/>
              </w:rPr>
              <w:t>4.物品消耗品类：工作服、手套、垃圾袋、洁厕剂、擦手纸、洗手液、抹布、橡胶手套、刷子等相关物资。</w:t>
            </w:r>
          </w:p>
          <w:p>
            <w:pPr>
              <w:pStyle w:val="null3"/>
              <w:jc w:val="both"/>
            </w:pPr>
            <w:r>
              <w:rPr>
                <w:rFonts w:ascii="仿宋_GB2312" w:hAnsi="仿宋_GB2312" w:cs="仿宋_GB2312" w:eastAsia="仿宋_GB2312"/>
              </w:rPr>
              <w:t>（三）服务标准</w:t>
            </w:r>
          </w:p>
          <w:p>
            <w:pPr>
              <w:pStyle w:val="null3"/>
              <w:jc w:val="both"/>
            </w:pPr>
            <w:r>
              <w:rPr>
                <w:rFonts w:ascii="仿宋_GB2312" w:hAnsi="仿宋_GB2312" w:cs="仿宋_GB2312" w:eastAsia="仿宋_GB2312"/>
              </w:rPr>
              <w:t>1.医院主管部门对中标服务商的工作进行监督和协调沟通。</w:t>
            </w:r>
          </w:p>
          <w:p>
            <w:pPr>
              <w:pStyle w:val="null3"/>
              <w:jc w:val="both"/>
            </w:pPr>
            <w:r>
              <w:rPr>
                <w:rFonts w:ascii="仿宋_GB2312" w:hAnsi="仿宋_GB2312" w:cs="仿宋_GB2312" w:eastAsia="仿宋_GB2312"/>
              </w:rPr>
              <w:t>2.中标服务商项目主管需主动与医院主管部门联络，定时提供督导检查记录，并征求甲方提出的意见建议及时改进工作。</w:t>
            </w:r>
          </w:p>
          <w:p>
            <w:pPr>
              <w:pStyle w:val="null3"/>
              <w:jc w:val="both"/>
            </w:pPr>
            <w:r>
              <w:rPr>
                <w:rFonts w:ascii="仿宋_GB2312" w:hAnsi="仿宋_GB2312" w:cs="仿宋_GB2312" w:eastAsia="仿宋_GB2312"/>
              </w:rPr>
              <w:t>3.树立“业主至上、服务第一”大无畏的思想，为医院创造一个干净整洁、舒适的医疗环境。</w:t>
            </w:r>
          </w:p>
          <w:p>
            <w:pPr>
              <w:pStyle w:val="null3"/>
              <w:jc w:val="both"/>
            </w:pPr>
            <w:r>
              <w:rPr>
                <w:rFonts w:ascii="仿宋_GB2312" w:hAnsi="仿宋_GB2312" w:cs="仿宋_GB2312" w:eastAsia="仿宋_GB2312"/>
              </w:rPr>
              <w:t>4.实行优质服务，优质管理，为医院提供文明礼貌、主动热情周到的服务，最大限度满足医院服务质量的要求。</w:t>
            </w:r>
          </w:p>
          <w:p>
            <w:pPr>
              <w:pStyle w:val="null3"/>
              <w:jc w:val="both"/>
            </w:pPr>
            <w:r>
              <w:rPr>
                <w:rFonts w:ascii="仿宋_GB2312" w:hAnsi="仿宋_GB2312" w:cs="仿宋_GB2312" w:eastAsia="仿宋_GB2312"/>
              </w:rPr>
              <w:t>5.如中标服务商员工有监守自盗行为，一经发现核实，按财产损失价值5倍处罚中标服务商，中标服务商须开除当事员工。以上行为严重者送交公安机关。如发生火灾、治安、交通、刑事等事故，经核实，是因中标服务商管理疏忽、玩忽职守、处理不当造成，按事故责任进行赔偿。必要时追诉中标服务商的刑事责任。</w:t>
            </w:r>
          </w:p>
          <w:p>
            <w:pPr>
              <w:pStyle w:val="null3"/>
              <w:jc w:val="both"/>
            </w:pPr>
            <w:r>
              <w:rPr>
                <w:rFonts w:ascii="仿宋_GB2312" w:hAnsi="仿宋_GB2312" w:cs="仿宋_GB2312" w:eastAsia="仿宋_GB2312"/>
              </w:rPr>
              <w:t>6.中标服务商必须保证派驻人员稳定性，如人员有调离或离职，调离或离职人员离开医院之前，必须经由甲方同意，新来员工必须经过甲方培训合格后，经医院主管部门批准方可上岗。如发现中标服务商不经医院主管部门同意,擅自对派驻人员私自调整上岗的，扣除本月服务费5%，并辞退当事人。</w:t>
            </w:r>
          </w:p>
          <w:p>
            <w:pPr>
              <w:pStyle w:val="null3"/>
              <w:jc w:val="both"/>
            </w:pPr>
            <w:r>
              <w:rPr>
                <w:rFonts w:ascii="仿宋_GB2312" w:hAnsi="仿宋_GB2312" w:cs="仿宋_GB2312" w:eastAsia="仿宋_GB2312"/>
                <w:b/>
              </w:rPr>
              <w:t>五、商务要求</w:t>
            </w:r>
          </w:p>
          <w:p>
            <w:pPr>
              <w:pStyle w:val="null3"/>
              <w:jc w:val="both"/>
            </w:pPr>
            <w:r>
              <w:rPr>
                <w:rFonts w:ascii="仿宋_GB2312" w:hAnsi="仿宋_GB2312" w:cs="仿宋_GB2312" w:eastAsia="仿宋_GB2312"/>
              </w:rPr>
              <w:t>服务期：自合同签订之日起至</w:t>
            </w:r>
            <w:r>
              <w:rPr>
                <w:rFonts w:ascii="仿宋_GB2312" w:hAnsi="仿宋_GB2312" w:cs="仿宋_GB2312" w:eastAsia="仿宋_GB2312"/>
              </w:rPr>
              <w:t>2026年12月31日。</w:t>
            </w:r>
          </w:p>
          <w:p>
            <w:pPr>
              <w:pStyle w:val="null3"/>
              <w:jc w:val="both"/>
            </w:pPr>
            <w:r>
              <w:rPr>
                <w:rFonts w:ascii="仿宋_GB2312" w:hAnsi="仿宋_GB2312" w:cs="仿宋_GB2312" w:eastAsia="仿宋_GB2312"/>
                <w:b/>
              </w:rPr>
              <w:t>六、其他</w:t>
            </w:r>
          </w:p>
          <w:p>
            <w:pPr>
              <w:pStyle w:val="null3"/>
              <w:jc w:val="both"/>
            </w:pPr>
            <w:r>
              <w:rPr>
                <w:rFonts w:ascii="仿宋_GB2312" w:hAnsi="仿宋_GB2312" w:cs="仿宋_GB2312" w:eastAsia="仿宋_GB2312"/>
              </w:rPr>
              <w:t>1.工作人员薪金要求：中标公司所雇佣的员工基本工资（不包括员工社保、医保、福利以及加班工资等）不能低于西安市规定的最低工资标准。中标公司必须承诺不能发生拖欠员工工资的问题，一经发现，医院有权解除合同。</w:t>
            </w:r>
          </w:p>
          <w:p>
            <w:pPr>
              <w:pStyle w:val="null3"/>
              <w:jc w:val="both"/>
            </w:pPr>
            <w:r>
              <w:rPr>
                <w:rFonts w:ascii="仿宋_GB2312" w:hAnsi="仿宋_GB2312" w:cs="仿宋_GB2312" w:eastAsia="仿宋_GB2312"/>
              </w:rPr>
              <w:t>2.中标服务商负责员工的社会养老、医疗、工伤、失业等费用，若发生劳动争议均由中标服务商自己解决，医院无任何连带关系和责任；如发生违反用工规定的，由中标单位自行解决并承担所有责任，医院无任何连带关系和责任。</w:t>
            </w:r>
          </w:p>
          <w:p>
            <w:pPr>
              <w:pStyle w:val="null3"/>
              <w:jc w:val="both"/>
            </w:pPr>
            <w:r>
              <w:rPr>
                <w:rFonts w:ascii="仿宋_GB2312" w:hAnsi="仿宋_GB2312" w:cs="仿宋_GB2312" w:eastAsia="仿宋_GB2312"/>
              </w:rPr>
              <w:t>3.中标服务商不得将委托管理项目转包给第三方管理，不允许分包或转包管理责任和管理事宜。</w:t>
            </w:r>
          </w:p>
          <w:p>
            <w:pPr>
              <w:pStyle w:val="null3"/>
              <w:jc w:val="both"/>
            </w:pPr>
            <w:r>
              <w:rPr>
                <w:rFonts w:ascii="仿宋_GB2312" w:hAnsi="仿宋_GB2312" w:cs="仿宋_GB2312" w:eastAsia="仿宋_GB2312"/>
              </w:rPr>
              <w:t>4.医院如</w:t>
            </w:r>
            <w:r>
              <w:rPr>
                <w:rFonts w:ascii="仿宋_GB2312" w:hAnsi="仿宋_GB2312" w:cs="仿宋_GB2312" w:eastAsia="仿宋_GB2312"/>
              </w:rPr>
              <w:t>有重要检查、重要嘉宾参观以及其他重要活动时提前通知，中标单位应根据医院要求加强人员服务。若遇火警、暴雨、地震等特殊情况，要立即组织应急小组配合医院进行抢险。</w:t>
            </w:r>
          </w:p>
          <w:p>
            <w:pPr>
              <w:pStyle w:val="null3"/>
            </w:pPr>
            <w:r>
              <w:rPr>
                <w:rFonts w:ascii="仿宋_GB2312" w:hAnsi="仿宋_GB2312" w:cs="仿宋_GB2312" w:eastAsia="仿宋_GB2312"/>
              </w:rPr>
              <w:t>5.医院协助中标服务商对员工进行疾病预防知识的培训和技术指导。</w:t>
            </w:r>
          </w:p>
          <w:p>
            <w:pPr>
              <w:pStyle w:val="null3"/>
            </w:pPr>
            <w:r>
              <w:rPr>
                <w:rFonts w:ascii="仿宋_GB2312" w:hAnsi="仿宋_GB2312" w:cs="仿宋_GB2312" w:eastAsia="仿宋_GB2312"/>
              </w:rPr>
              <w:t>6.医院为中标服务商提供办公用房及日常水电费用；保洁食宿由中标服务商自理。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服务要求：符合磋商文件及采购人的要求。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第4个月支付（1-3月费用）甲方据实结算，经甲方书面考核合格后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第4个月甲方据实结算，经甲方书面考核合格后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第5个月甲方据实结算，经甲方书面考核合格后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第6个月甲方据实结算，经甲方书面考核合格后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第7个月甲方据实结算，经甲方书面考核合格后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第8个月甲方据实结算，经甲方书面考核合格后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第9个月甲方据实结算，经甲方书面考核合格后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第10个月甲方据实结算，经甲方书面考核合格后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第11个月甲方据实结算，经甲方书面考核合格后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第12个月甲方据实结算，经甲方书面考核合格后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8.36</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依法向甲方所在地人民法院诉讼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实行两轮报价。第一轮报价后，磋商小组可以根据项目实施情况调整采购需求，第二轮报价为最终报价。如采购需求没有实质性变化，各供应商的报价应逐次降低，本次报价超过上次报价的，为无效报价。 2、成交供应商在领取成交通知书前，需向采购代理机构提交加盖公章的纸质版响应文件三套，成交供应商应保持投标文件纸质版内容与系统上传内容完全一致，否则将承担一切法律责任。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提供合法注册的法人应提供营业执照（或事业法人证）、组织机构代码证、税务登记证或统一社会信用代码的营业执照或其他组织应提供合法证明文件或自然人提供身份证件。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提供2023年度1月至今已缴纳的至少一个月的纳税证明（银行缴费凭证）或完税证明，依法免税的单位应提供相关证明材料。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提供2023年度1月至今已缴存的至少一个月的社会养老保障资金银行缴费单据或社保机构开具的社会养老保险参保缴费情况证明，依法不需要缴纳社会保障资金的单位应提供相关证明材料。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供应商履约能力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不得为中国政府采购网（www.ccgp.gov.cn）政府采购“严重违法失信行为信息记录”中被财政部门禁止参加政府采购活动的供应商。 （信用记录由采购代理机构在响应文件资格审查阶段通过互联网或者相关系统查询，供应商可不提供。对信用查询结果不符合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本项目不接受联合体招标，单位负责人为同一人或者存在直接控股、管理关系的不同供应商，不得参加同一合同项下的政府采购活动。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供应商资格要求.docx 供应商承诺书.docx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中小企业声明函 报价表 商务、技术条款响应偏离表.docx 供应商承诺书.docx 响应文件封面 分项报价表.docx 供应商资格要求.docx 供应商认为需要提供的其他资料.docx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响应文件按磋商文件要求签字盖章。</w:t>
            </w:r>
          </w:p>
        </w:tc>
        <w:tc>
          <w:tcPr>
            <w:tcW w:type="dxa" w:w="1661"/>
          </w:tcPr>
          <w:p>
            <w:pPr>
              <w:pStyle w:val="null3"/>
            </w:pPr>
            <w:r>
              <w:rPr>
                <w:rFonts w:ascii="仿宋_GB2312" w:hAnsi="仿宋_GB2312" w:cs="仿宋_GB2312" w:eastAsia="仿宋_GB2312"/>
              </w:rPr>
              <w:t>中小企业声明函 报价表 商务、技术条款响应偏离表.docx 供应商承诺书.docx 响应文件封面 分项报价表.docx 供应商资格要求.docx 供应商认为需要提供的其他资料.docx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投标有效期达到磋商文件要求。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中小企业声明函 报价表 商务、技术条款响应偏离表.docx 供应商承诺书.docx 响应文件封面 分项报价表.docx 供应商资格要求.docx 供应商认为需要提供的其他资料.docx 残疾人福利性单位声明函 标的清单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根据项目要求及特点，服务实施方案详细、完整、可操作性强等。1.方案明确、细节考虑到位，有针对性、有实施能力得15分； 2.描述清楚，明确要求得12分；3.描述基本清楚、要点基本清楚得8分； 4.描述简单、粗略得4分； 未提供的0分。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内部管理制度方案</w:t>
            </w:r>
          </w:p>
        </w:tc>
        <w:tc>
          <w:tcPr>
            <w:tcW w:type="dxa" w:w="2492"/>
          </w:tcPr>
          <w:p>
            <w:pPr>
              <w:pStyle w:val="null3"/>
            </w:pPr>
            <w:r>
              <w:rPr>
                <w:rFonts w:ascii="仿宋_GB2312" w:hAnsi="仿宋_GB2312" w:cs="仿宋_GB2312" w:eastAsia="仿宋_GB2312"/>
              </w:rPr>
              <w:t>供应商根据本项目的内容及要求编制管理制度方案；1.方案各部分内容全面详细、逻辑条理清晰、操作细节明确且符合本项目采购需求，能有效保障本项目实施的得10分； 2.方案各部分内容比较全面。条理性，操作细节比较清楚的6分；3.方案各部分内容不太全面，条理性，操作细节不太清楚得3分；未提供的0分。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若遇火警、暴雨、地震等特殊情况，要立即组织应急小组配合医院进行抢险应急处置方案，包括但不限于突发事件、事故处理等，能够在必要时提供应急服务响应。1.方案明确、细节考虑到位，有针对性、有实施能力得5分；2.方案各部分内容比较全面。条理性，操作细节比较清楚的3分；3.描述简单、粗略得1分；未提供的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组织管理措施</w:t>
            </w:r>
          </w:p>
        </w:tc>
        <w:tc>
          <w:tcPr>
            <w:tcW w:type="dxa" w:w="2492"/>
          </w:tcPr>
          <w:p>
            <w:pPr>
              <w:pStyle w:val="null3"/>
            </w:pPr>
            <w:r>
              <w:rPr>
                <w:rFonts w:ascii="仿宋_GB2312" w:hAnsi="仿宋_GB2312" w:cs="仿宋_GB2312" w:eastAsia="仿宋_GB2312"/>
              </w:rPr>
              <w:t>依据供应商针对本项目实施制定的服务质量目标及服务质量保证措施进行综合评分。1.组织管理措施详细完善，切实可行得6分。2.组织管理措施完整，可行性较强得4分。3.组织管理措施简单，具有一定可行性得2分。未提供的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1.有详细的组织进度安排、时间节点控制，能够承诺在规定时间按质按量完成项目，遵守采购方的合同条款及服从采购人管理等方案承诺详细可行得12分；2.组织进度安排、时间节点控制，实施计划等方案承诺可行性及针对性较强得9分；3.组织进度安排、时间节点控制，实施计划等方案承诺可行满足要求得6分；4.方案缺项简单得3分；未提供的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拟投入的工具设备</w:t>
            </w:r>
          </w:p>
        </w:tc>
        <w:tc>
          <w:tcPr>
            <w:tcW w:type="dxa" w:w="2492"/>
          </w:tcPr>
          <w:p>
            <w:pPr>
              <w:pStyle w:val="null3"/>
            </w:pPr>
            <w:r>
              <w:rPr>
                <w:rFonts w:ascii="仿宋_GB2312" w:hAnsi="仿宋_GB2312" w:cs="仿宋_GB2312" w:eastAsia="仿宋_GB2312"/>
              </w:rPr>
              <w:t>拟投入的设备工具应符合本项目采购需求的配备情况等方面进行打分。1.所投入的设备工具种类齐全、数量充足，满足项目需要、能及时补充、更换的计6分；2.所投入的设备工具种类笼统简单，较为满足项目实施的整体安排的计3分；未提供的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提供的专职工作人员应符合本项目采购需求。1.人员架构科学、分工合理、职责明确、经验丰富，证明材料完整，得10分；2.人员架构简单、分工较为合理、明确，基本满足项目需求得6分；3.人员分工粗略，职责不明确、提供材料不全，得3分；未提供的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1.有利于本项目切实可行的服务承诺及服务保证措施，包括但不限于未拖欠员工工资问题等事项具体、可行、可操作性强得6分；2.服务的承诺事项简单，可操作性一般得3分；未提供的0分。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供应商2023年1月至今承接过类似项目业绩，每有1项得2分，最多得10分。注：提供合同，日期以合同日期为准。如模糊不清，视为无效业绩，不予得分。弄虚作假者取消其投标、成交资格。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统一采用低价优先法计算，即满足磋商文件要求且磋商价格最低的磋商报价为评标基准价，其价格分为满分。其他供应商的价格分统一按照下列公式计算： 磋商报价得分=（磋商基准价／磋商报价）×价格权值×100注：计算分数时四舍五入取小数点后两位。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详见附件：商务、技术条款响应偏离表.docx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