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版本号：SCZD2025-DY-3342-00120251218001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2025年绩效软件管理系统及运营咨询服务升级项目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SCZD2025-DY-3342-001</w:t>
      </w:r>
      <w:r>
        <w:br/>
      </w:r>
      <w:r>
        <w:br/>
      </w:r>
      <w:r>
        <w:br/>
      </w:r>
    </w:p>
    <w:p>
      <w:pPr>
        <w:pStyle w:val="null3"/>
        <w:jc w:val="center"/>
        <w:outlineLvl w:val="5"/>
      </w:pPr>
      <w:r>
        <w:rPr>
          <w:rFonts w:ascii="仿宋_GB2312" w:hAnsi="仿宋_GB2312" w:cs="仿宋_GB2312" w:eastAsia="仿宋_GB2312"/>
          <w:sz w:val="15"/>
          <w:b/>
        </w:rPr>
        <w:t>西安市红会医院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2025年绩效软件管理系统及运营咨询服务升级项目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SCZD2025-DY-3342-001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2025年绩效软件管理系统及运营咨询服务升级项目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院在2020年12月底上线基于RBRVS（以资源消耗评估医师劳务价值的支付方法）为基础，结合成本管理、KPI考核、手术单项等工具的绩效管理方案及配套软件。在运行过程中有效的帮助医院提升了运营水平，通过绩效导向促进了医院的良好发展。现绩效方案经过多年的运行，部分科室业务发生较大变化，同时受北院区开业、DRG支付政策、医院病种结构变化、区域大规模调价等因素影响，已不能完全发挥绩效应有的导向作用。需要对绩效软件管理系统进行升级并增加运营咨询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出现以下情况不得参与投标：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3、法人授权书：投标人参加本项目的合法授权人授权委托书； 投标人应授权合法的人员参加投标全过程，其中法定代表人直接参加投标的，须出具法定代表人身份证，并与营业执照上信息一致。授权代表参与投标提供法定代表人（单位负责人）授权委托书（附法定代表人（单位负责人）、被授权人身份证复印件及被授权人截止开标前连续三个月在本单位社保缴纳的证明资料</w:t>
      </w:r>
    </w:p>
    <w:p>
      <w:pPr>
        <w:pStyle w:val="null3"/>
      </w:pPr>
      <w:r>
        <w:rPr>
          <w:rFonts w:ascii="仿宋_GB2312" w:hAnsi="仿宋_GB2312" w:cs="仿宋_GB2312" w:eastAsia="仿宋_GB2312"/>
        </w:rPr>
        <w:t>4、本项目不接受由西安市红会医院职工及其亲属投资的企业参加投标。：本项目不接受由西安市红会医院职工及其亲属投资的企业参加投标。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西安市碑林区南稍门南郭路76号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西安市红会医院经办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0298-6520792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029-88497916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中标结果公示发布后5个工作日内乙方将项目履约保证金（中标总金额的5%）转账至甲方基本户,未按照招标文件要求按时足额缴纳履约保证金的，甲方将取消乙方中标资格，且无需承担任何责任，甲方可重新组织招标活动。合同所约定事宜完成，无任何问题，甲方向乙方无息退还履约保证金。</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医院在2020年12月底上线基于RBRVS（以资源消耗评估医师劳务价值的支付方法）为基础，结合成本管理、KPI考核、手术单项等工具的绩效管理方案及配套软件。在运行过程中有效的帮助医院提升了运营水平，通过绩效导向促进了医院的良好发展。现绩效方案经过多年的运行，部分科室业务发生较大变化，同时受北院区开业、DRG支付政策、医院病种结构变化、区域大规模调价等因素影响，已不能完全发挥绩效应有的导向作用。需要对绩效软件管理系统进行升级并增加运营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both"/>
            </w:pPr>
            <w:r>
              <w:rPr>
                <w:rFonts w:ascii="仿宋_GB2312" w:hAnsi="仿宋_GB2312" w:cs="仿宋_GB2312" w:eastAsia="仿宋_GB2312"/>
                <w:sz w:val="21"/>
                <w:b/>
              </w:rPr>
              <w:t>一、项目</w:t>
            </w:r>
            <w:r>
              <w:rPr>
                <w:rFonts w:ascii="仿宋_GB2312" w:hAnsi="仿宋_GB2312" w:cs="仿宋_GB2312" w:eastAsia="仿宋_GB2312"/>
                <w:sz w:val="21"/>
                <w:b/>
              </w:rPr>
              <w:t>概况</w:t>
            </w:r>
          </w:p>
          <w:p>
            <w:pPr>
              <w:pStyle w:val="null3"/>
              <w:ind w:firstLine="480"/>
              <w:jc w:val="both"/>
            </w:pPr>
            <w:r>
              <w:rPr>
                <w:rFonts w:ascii="仿宋_GB2312" w:hAnsi="仿宋_GB2312" w:cs="仿宋_GB2312" w:eastAsia="仿宋_GB2312"/>
                <w:sz w:val="21"/>
              </w:rPr>
              <w:t>我院与</w:t>
            </w:r>
            <w:r>
              <w:rPr>
                <w:rFonts w:ascii="仿宋_GB2312" w:hAnsi="仿宋_GB2312" w:cs="仿宋_GB2312" w:eastAsia="仿宋_GB2312"/>
                <w:sz w:val="21"/>
              </w:rPr>
              <w:t>2020年12月底上线基于RBRVS（以资源消耗评估医师劳务价值的支付方法）为基础，结合成本管理、KPI考核、手术单项等工具的绩效管理方案及配套软件。在运行过程中有效的帮助医院提升了运营水平，通过绩效导向促进了医院的良好发展。现绩效方案经过多年的运行，部分科室业务发生较大变化，同时受北院区开业、DRG支付政策、医院病种结构变化、区域大规模调价等因素影响，已不能完全发挥绩效应有的导向作用。需要对绩效软件管理系统进行升级并增加运营咨询服务。</w:t>
            </w:r>
          </w:p>
          <w:p>
            <w:pPr>
              <w:pStyle w:val="null3"/>
              <w:jc w:val="both"/>
            </w:pPr>
            <w:r>
              <w:rPr>
                <w:rFonts w:ascii="仿宋_GB2312" w:hAnsi="仿宋_GB2312" w:cs="仿宋_GB2312" w:eastAsia="仿宋_GB2312"/>
                <w:sz w:val="21"/>
                <w:b/>
              </w:rPr>
              <w:t>二、服务内容</w:t>
            </w:r>
          </w:p>
          <w:p>
            <w:pPr>
              <w:pStyle w:val="null3"/>
              <w:ind w:firstLine="480"/>
              <w:jc w:val="both"/>
            </w:pPr>
            <w:r>
              <w:rPr>
                <w:rFonts w:ascii="仿宋_GB2312" w:hAnsi="仿宋_GB2312" w:cs="仿宋_GB2312" w:eastAsia="仿宋_GB2312"/>
                <w:sz w:val="21"/>
              </w:rPr>
              <w:t>1.整体要求</w:t>
            </w:r>
            <w:r>
              <w:rPr>
                <w:rFonts w:ascii="仿宋_GB2312" w:hAnsi="仿宋_GB2312" w:cs="仿宋_GB2312" w:eastAsia="仿宋_GB2312"/>
                <w:sz w:val="21"/>
              </w:rPr>
              <w:t>：新绩效方案需以工作量、工作质量为核心，兼顾关键业绩指标考核、成本管控等方面，按医疗、医技、护理、医疗辅助、行政后勤等五类不同的岗位系列分别制定相应的绩效分配方案。</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1）医疗系列绩效分配设计方案</w:t>
            </w:r>
          </w:p>
          <w:p>
            <w:pPr>
              <w:pStyle w:val="null3"/>
              <w:ind w:firstLine="480"/>
              <w:jc w:val="both"/>
            </w:pPr>
            <w:r>
              <w:rPr>
                <w:rFonts w:ascii="仿宋_GB2312" w:hAnsi="仿宋_GB2312" w:cs="仿宋_GB2312" w:eastAsia="仿宋_GB2312"/>
                <w:sz w:val="21"/>
              </w:rPr>
              <w:t>以</w:t>
            </w:r>
            <w:r>
              <w:rPr>
                <w:rFonts w:ascii="仿宋_GB2312" w:hAnsi="仿宋_GB2312" w:cs="仿宋_GB2312" w:eastAsia="仿宋_GB2312"/>
                <w:sz w:val="21"/>
              </w:rPr>
              <w:t>RBRVS结合DRGs\DIP为绩效考核方法，根据科内业务性质划分为手术科系、非手术科系、感染科系、重症科系、麻醉科系、门急诊科系、内镜科系共七个科系等进行评价，结合医院实际情况，根据医疗服务项目的劳动强度、技术难度、风险程度分为门诊医生和住院医生，分别赋予其分值，制定医疗系列的服务项目的RBRVS字典。利用DRGs/DIP中的CMI值（Case-MixIndex,即病例组合数），客观评价科室收治患者的风险和复杂程度，统筹考虑质量、效率、成本等诸多要素，结合医院客观情况适度加入费用消耗指数（CCI）用于衡量医院在处理特定病种时的医疗费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2）医技系列绩效分配设计方案</w:t>
            </w:r>
          </w:p>
          <w:p>
            <w:pPr>
              <w:pStyle w:val="null3"/>
              <w:ind w:firstLine="480"/>
              <w:jc w:val="both"/>
            </w:pPr>
            <w:r>
              <w:rPr>
                <w:rFonts w:ascii="仿宋_GB2312" w:hAnsi="仿宋_GB2312" w:cs="仿宋_GB2312" w:eastAsia="仿宋_GB2312"/>
                <w:sz w:val="21"/>
              </w:rPr>
              <w:t>结合医院实际情况，根据医技诊疗服务项目的劳动强度、技术难度、风险程度，构建医技系列绩效评价方案。</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3）护理系列绩效分配设计方案</w:t>
            </w:r>
          </w:p>
          <w:p>
            <w:pPr>
              <w:pStyle w:val="null3"/>
              <w:ind w:firstLine="480"/>
              <w:jc w:val="both"/>
            </w:pPr>
            <w:r>
              <w:rPr>
                <w:rFonts w:ascii="仿宋_GB2312" w:hAnsi="仿宋_GB2312" w:cs="仿宋_GB2312" w:eastAsia="仿宋_GB2312"/>
                <w:sz w:val="21"/>
              </w:rPr>
              <w:t>护理绩效分配方案分为一次分配和二次分配。一次分配将岗位划分为五类，通过岗位评价制定系数进行分配。二次分配以工作量和工作质量为基础，按九大护理科系分类，采用公式化核算，并设定护士长管理绩效和岗位绩效等细则，与</w:t>
            </w:r>
            <w:r>
              <w:rPr>
                <w:rFonts w:ascii="仿宋_GB2312" w:hAnsi="仿宋_GB2312" w:cs="仿宋_GB2312" w:eastAsia="仿宋_GB2312"/>
                <w:sz w:val="21"/>
              </w:rPr>
              <w:t>KPI考核挂钩，同时规定不在岗及代理护士长的处理方式。</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4）医疗辅助系列绩效分配设计方案</w:t>
            </w:r>
          </w:p>
          <w:p>
            <w:pPr>
              <w:pStyle w:val="null3"/>
              <w:ind w:firstLine="480"/>
              <w:jc w:val="both"/>
            </w:pPr>
            <w:r>
              <w:rPr>
                <w:rFonts w:ascii="仿宋_GB2312" w:hAnsi="仿宋_GB2312" w:cs="仿宋_GB2312" w:eastAsia="仿宋_GB2312"/>
                <w:sz w:val="21"/>
              </w:rPr>
              <w:t>医疗辅助系列包括</w:t>
            </w:r>
            <w:r>
              <w:rPr>
                <w:rFonts w:ascii="仿宋_GB2312" w:hAnsi="仿宋_GB2312" w:cs="仿宋_GB2312" w:eastAsia="仿宋_GB2312"/>
                <w:sz w:val="21"/>
              </w:rPr>
              <w:t>药剂科</w:t>
            </w:r>
            <w:r>
              <w:rPr>
                <w:rFonts w:ascii="仿宋_GB2312" w:hAnsi="仿宋_GB2312" w:cs="仿宋_GB2312" w:eastAsia="仿宋_GB2312"/>
                <w:sz w:val="21"/>
              </w:rPr>
              <w:t>、消毒供应室</w:t>
            </w:r>
            <w:r>
              <w:rPr>
                <w:rFonts w:ascii="仿宋_GB2312" w:hAnsi="仿宋_GB2312" w:cs="仿宋_GB2312" w:eastAsia="仿宋_GB2312"/>
                <w:sz w:val="21"/>
              </w:rPr>
              <w:t>等部门</w:t>
            </w:r>
            <w:r>
              <w:rPr>
                <w:rFonts w:ascii="仿宋_GB2312" w:hAnsi="仿宋_GB2312" w:cs="仿宋_GB2312" w:eastAsia="仿宋_GB2312"/>
                <w:sz w:val="21"/>
              </w:rPr>
              <w:t>。构建医疗辅助系列绩效评价方案。</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5）其他专项绩效分配方案</w:t>
            </w:r>
          </w:p>
          <w:p>
            <w:pPr>
              <w:pStyle w:val="null3"/>
              <w:ind w:firstLine="480"/>
              <w:jc w:val="both"/>
            </w:pPr>
            <w:r>
              <w:rPr>
                <w:rFonts w:ascii="仿宋_GB2312" w:hAnsi="仿宋_GB2312" w:cs="仿宋_GB2312" w:eastAsia="仿宋_GB2312"/>
                <w:sz w:val="21"/>
              </w:rPr>
              <w:t>为突破诊疗关键流程中的效率瓶颈，提高全院的整体效率，提升患者对医院的满意度，在工作量为基础的整体绩效考评方案基础上，设置新技术新项目、新增独立核算学科、重点学科与特殊科室、科研奖励等专项绩效。</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科室运营目标设置以及实现方法实现路径辅导</w:t>
            </w:r>
            <w:r>
              <w:rPr>
                <w:rFonts w:ascii="仿宋_GB2312" w:hAnsi="仿宋_GB2312" w:cs="仿宋_GB2312" w:eastAsia="仿宋_GB2312"/>
                <w:sz w:val="21"/>
              </w:rPr>
              <w:t>（两个科室）</w:t>
            </w:r>
          </w:p>
          <w:p>
            <w:pPr>
              <w:pStyle w:val="null3"/>
              <w:ind w:firstLine="480"/>
              <w:jc w:val="both"/>
            </w:pPr>
            <w:r>
              <w:rPr>
                <w:rFonts w:ascii="仿宋_GB2312" w:hAnsi="仿宋_GB2312" w:cs="仿宋_GB2312" w:eastAsia="仿宋_GB2312"/>
                <w:sz w:val="21"/>
              </w:rPr>
              <w:t>科室目标设置，梳理运营目标体系，针对科室的现状做学科定位分析，确定科室运营目标；</w:t>
            </w:r>
          </w:p>
          <w:p>
            <w:pPr>
              <w:pStyle w:val="null3"/>
              <w:ind w:firstLine="480"/>
              <w:jc w:val="both"/>
            </w:pPr>
            <w:r>
              <w:rPr>
                <w:rFonts w:ascii="仿宋_GB2312" w:hAnsi="仿宋_GB2312" w:cs="仿宋_GB2312" w:eastAsia="仿宋_GB2312"/>
                <w:sz w:val="21"/>
              </w:rPr>
              <w:t>科室目标实现路径辅导，通过规划科室的病种（包括关键病种、优势病种等），对新技术和新项目的引进提供预测分析，对科室的人力配置等方法，确定科室实现目标方法。</w:t>
            </w:r>
          </w:p>
          <w:p>
            <w:pPr>
              <w:pStyle w:val="null3"/>
              <w:jc w:val="both"/>
            </w:pPr>
            <w:r>
              <w:rPr>
                <w:rFonts w:ascii="仿宋_GB2312" w:hAnsi="仿宋_GB2312" w:cs="仿宋_GB2312" w:eastAsia="仿宋_GB2312"/>
                <w:sz w:val="21"/>
                <w:b/>
              </w:rPr>
              <w:t>三、技术要求</w:t>
            </w:r>
          </w:p>
          <w:tbl>
            <w:tblPr>
              <w:tblBorders>
                <w:top w:val="none" w:color="000000" w:sz="4"/>
                <w:left w:val="none" w:color="000000" w:sz="4"/>
                <w:bottom w:val="none" w:color="000000" w:sz="4"/>
                <w:right w:val="none" w:color="000000" w:sz="4"/>
                <w:insideH w:val="none"/>
                <w:insideV w:val="none"/>
              </w:tblBorders>
            </w:tblPr>
            <w:tblGrid>
              <w:gridCol w:w="152"/>
              <w:gridCol w:w="361"/>
              <w:gridCol w:w="2040"/>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明细</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软件架构</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SpringBoot，MyBatis，MVC分层开发，采用SpringBoot的声明式事务，前端框架为ExtJS 4.3。</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开发语言</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软件开发语言为</w:t>
                  </w:r>
                  <w:r>
                    <w:rPr>
                      <w:rFonts w:ascii="仿宋_GB2312" w:hAnsi="仿宋_GB2312" w:cs="仿宋_GB2312" w:eastAsia="仿宋_GB2312"/>
                      <w:sz w:val="21"/>
                      <w:color w:val="000000"/>
                    </w:rPr>
                    <w:t>Java8。</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1）支持满足信创要求的国产数据库如中电科金仓数据库KingbaseES V8、V9；</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2）支持满足信创要求的国产数据库如达梦数据库DM8；</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开源数据库如</w:t>
                  </w:r>
                  <w:r>
                    <w:rPr>
                      <w:rFonts w:ascii="仿宋_GB2312" w:hAnsi="仿宋_GB2312" w:cs="仿宋_GB2312" w:eastAsia="仿宋_GB2312"/>
                      <w:sz w:val="21"/>
                      <w:color w:val="000000"/>
                    </w:rPr>
                    <w:t>MySQL 8、MariaDB数据库等；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SQL Server 2014 R2 Enterprise Edition及以上版本等。</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Web应用服务器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1）支持满足信创要求的国产中间件东方通TongWeb；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2）支持满足信创要求的国产中间件金蝶Apusic（AAS）；</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主流开源中间件</w:t>
                  </w:r>
                  <w:r>
                    <w:rPr>
                      <w:rFonts w:ascii="仿宋_GB2312" w:hAnsi="仿宋_GB2312" w:cs="仿宋_GB2312" w:eastAsia="仿宋_GB2312"/>
                      <w:sz w:val="21"/>
                      <w:color w:val="000000"/>
                    </w:rPr>
                    <w:t>Tomcat。</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1）支持满足信创要求的国产系统如银河麒麟V10；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Linux系统如CentOS 8；</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Windows Server 2003/2008/2012 Enterprise 32/64 Edition及以上等。</w:t>
                  </w:r>
                </w:p>
              </w:tc>
            </w:tr>
          </w:tbl>
          <w:p>
            <w:pPr>
              <w:pStyle w:val="null3"/>
              <w:ind w:firstLine="211"/>
              <w:jc w:val="both"/>
            </w:pPr>
            <w:r>
              <w:rPr>
                <w:rFonts w:ascii="仿宋_GB2312" w:hAnsi="仿宋_GB2312" w:cs="仿宋_GB2312" w:eastAsia="仿宋_GB2312"/>
                <w:sz w:val="21"/>
                <w:b/>
              </w:rPr>
              <w:t>6.功能项目</w:t>
            </w:r>
          </w:p>
          <w:tbl>
            <w:tblPr>
              <w:tblBorders>
                <w:top w:val="none" w:color="000000" w:sz="4"/>
                <w:left w:val="none" w:color="000000" w:sz="4"/>
                <w:bottom w:val="none" w:color="000000" w:sz="4"/>
                <w:right w:val="none" w:color="000000" w:sz="4"/>
                <w:insideH w:val="none"/>
                <w:insideV w:val="none"/>
              </w:tblBorders>
            </w:tblPr>
            <w:tblGrid>
              <w:gridCol w:w="391"/>
              <w:gridCol w:w="523"/>
              <w:gridCol w:w="1639"/>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一级功能</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二级功能</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功能描述</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系统操作</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登录</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用户输入账户登录</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退出</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用户注销当前状态</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修改密码</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用户修改自己的密码</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系统通知</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其他用户或者软件自动发送消息给用户，用户可通过弹窗查看</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一次指引</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可自定义的流程控制引擎，确保用户在绩效核算之前完成所有必要步骤，以图形方式指引用户完成绩效核算和操作</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绩效驾驶舱</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全院绩效统计</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为院级管理用户在登录首页展示医院整体的一次绩效趋势、二次绩效及趋势、各职类一次绩效分布、各职类二次分配水平等情况，包含数据卡片和分析图表。</w:t>
                  </w:r>
                  <w:r>
                    <w:rPr>
                      <w:rFonts w:ascii="仿宋_GB2312" w:hAnsi="仿宋_GB2312" w:cs="仿宋_GB2312" w:eastAsia="仿宋_GB2312"/>
                      <w:sz w:val="21"/>
                    </w:rPr>
                    <w:t>定期进行绩效运行分析。</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科室绩效统计</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为科室管理用户在登录首页展示核算单元的一次分配绩效趋势、收入趋势及结构、绩效指标变化趋势，以及所属发放单元的二次绩效及趋势、二次分配绩效结构等情况，包含数据卡片和分析图表</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一次评价分配</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一次评价计算</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按照点数、规则、公式对医、护、技、药、行管、后勤等序列进行一次评价与分配</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行管一次评价计算</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按照各类考核系数、指标、公式单独对行管后勤等序列进行一次评价与分配</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RVU点数维护</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w:t>
                  </w:r>
                  <w:r>
                    <w:rPr>
                      <w:rFonts w:ascii="仿宋_GB2312" w:hAnsi="仿宋_GB2312" w:cs="仿宋_GB2312" w:eastAsia="仿宋_GB2312"/>
                      <w:sz w:val="21"/>
                    </w:rPr>
                    <w:t>RBRVS项目的基准点数和科室特殊点数</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核算模型管理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设置医、护、技、药、行管、后勤等序列每个核算单元的绩效公式、规则</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手工数据管理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绩效计算所需要的部分特殊数据，支持进行手工填写</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手工数据审核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对录入的手工数据进行审核</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二次评价分配</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科室分配项目</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科室可自行设置绩效二次分配的名目</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科室绩效发布</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医院管理部门对科室公布一次评价结果，科室在此基础上进行二次分配</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发放单元绩效调剂</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科室之间按二次分配项目进行绩效总量调拨</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科室绩效分配</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科室按照设置的二次分配项目自行发放绩效，并填报</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科室分配审核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管理部门对科室二次分配结果进行审核</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医院分配项目</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医院层面直接发放到个人的绩效项目可在此设置</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医院绩效分配</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按照医院分配项目，由医院层面直接录入发放金额，并且计税</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医院计发审核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对医院发放项目及金额进行审核</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专项绩效评价</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专项绩效查询</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查询各项专项绩效的结果，并进行归档</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专项绩效管理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管理各项专项绩效，包括新增、数据配置</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参数维护</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维护核算专项绩效的各项参数</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成本数据</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成本科目维护</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设置成本科目字典</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成本数据管理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成本数据录入、导入、导出</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成本数据审核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对成本数据审核或驳回</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指标管理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指标管理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KPI指标模板的维护、指标分配到科室</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目标值管理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维护不同核算单元的指标的目标值</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指标录入</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打分科室为各个核算单元进行打分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得分计算</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对打分结果进行审核，并且计算出总分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得分查询</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科室查询各自</w:t>
                  </w:r>
                  <w:r>
                    <w:rPr>
                      <w:rFonts w:ascii="仿宋_GB2312" w:hAnsi="仿宋_GB2312" w:cs="仿宋_GB2312" w:eastAsia="仿宋_GB2312"/>
                      <w:sz w:val="21"/>
                    </w:rPr>
                    <w:t>KPI的目标值、考核值以及对应得分</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人事信息</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员工信息管理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全院员工个人信息的维护，可设置其对应</w:t>
                  </w:r>
                  <w:r>
                    <w:rPr>
                      <w:rFonts w:ascii="仿宋_GB2312" w:hAnsi="仿宋_GB2312" w:cs="仿宋_GB2312" w:eastAsia="仿宋_GB2312"/>
                      <w:sz w:val="21"/>
                    </w:rPr>
                    <w:t>HIS工号等</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员工月查询</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按月归档员工信息的查询</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岗位字典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设置院内岗位字典，以及对应积分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职称字典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设置院内职称字典，以及对应积分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行政职务字典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设置院内行政职务字典，以及对应积分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护理能级字典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设置院内护理能级字典，以及对应积分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个人职类字典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设置院内职类序列字典，以及对应积分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学历字典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设置院内学历字典，以及对应积分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年龄工龄字典</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设置年龄和工龄字典，以及对应积分</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组织架构管理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核算单元管理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绩效核算单元的设置，并建立绩效核算单元与</w:t>
                  </w:r>
                  <w:r>
                    <w:rPr>
                      <w:rFonts w:ascii="仿宋_GB2312" w:hAnsi="仿宋_GB2312" w:cs="仿宋_GB2312" w:eastAsia="仿宋_GB2312"/>
                      <w:sz w:val="21"/>
                    </w:rPr>
                    <w:t>HIS科室的映射关系</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发放单元管理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在核算单元上层设置发放单元，并建立发放单元与绩效核算单元的从属关系</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按照院内科室级别设置，创建科室字典，并建立科室与绩效核算单元的映射关系</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医疗组管理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设置全部医疗组，并建立医疗组和科室、绩效核算单元的映射关系</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成本科室管理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设置医院原有财务或成本的组织结构，并建立与绩效核算单元的映射关系</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排班管理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节假日维护</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定义院内的工作日和节假日日历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夜班排班人数管理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设置各类夜班在不同科室的值班人数，用于软件自动控制二次分配的夜班费额度</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数据汇总分析</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表格数据分析</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可对所有后台表格设置查询条件，并进行检索。支持数据导出</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数据采集情况</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监控数据采集的执行情况</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表格数据维护</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依照条件查询某些表格数据，并可直接对数据进行编辑和修改</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基础数据归档</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将指定的基础数据表格按月封存归档</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点数明细查询</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管理部门查询各科室奖金规则的收费明细项，并支持明细数据下载功能</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运营管理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数据分析的相关模块，可打开标准报表系统，或者执行各种系统级别的任务</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绩效文档管理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管理员和普通用户上传、下载、管理和绩效相关的文档；管理员可下发公共文件或制度</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科室自助查询</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个人绩效查询</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员工自助查询二次分配至个人的绩效结果及明细，了解自身绩效薪酬构成和来源，并可签名确认或反馈异议</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科室绩效查询</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科室管理用户针对科室工作量绩效进行自助查询，可以通过可视化图表了解或分析绩效的计算过程，绩效指标的变化趋势，并可进一步下钻分析成本构成明细、科室优势工作量项目等</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科室后台明细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可以配置查询模板并一键调用，通过不同的条件组合，查询或汇总统计科室及个人的费用、工作量点数、项目数量等信息，类似于</w:t>
                  </w:r>
                  <w:r>
                    <w:rPr>
                      <w:rFonts w:ascii="仿宋_GB2312" w:hAnsi="仿宋_GB2312" w:cs="仿宋_GB2312" w:eastAsia="仿宋_GB2312"/>
                      <w:sz w:val="21"/>
                    </w:rPr>
                    <w:t>Excel的透视图</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通用工具</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消息管理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对指定用户发送通知或消息</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客户服务</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联通互联网时可向软件提供商在线发起报修工单或问题答疑</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权限控制</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维护用户信息，如已部署一体化运营平台则由平台统一管理用户</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权限管理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维护权限信息</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角色管理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维护角色信息</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菜单管理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维护菜单信息</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用户科室访问权限</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设置用户可在不同模块访问不同核算单元</w:t>
                  </w:r>
                </w:p>
              </w:tc>
            </w:tr>
          </w:tbl>
          <w:p>
            <w:pPr>
              <w:pStyle w:val="null3"/>
              <w:jc w:val="both"/>
            </w:pPr>
            <w:r>
              <w:rPr>
                <w:rFonts w:ascii="仿宋_GB2312" w:hAnsi="仿宋_GB2312" w:cs="仿宋_GB2312" w:eastAsia="仿宋_GB2312"/>
                <w:sz w:val="21"/>
                <w:b/>
              </w:rPr>
              <w:t>与旧版本功能</w:t>
            </w:r>
            <w:r>
              <w:rPr>
                <w:rFonts w:ascii="仿宋_GB2312" w:hAnsi="仿宋_GB2312" w:cs="仿宋_GB2312" w:eastAsia="仿宋_GB2312"/>
                <w:sz w:val="21"/>
                <w:b/>
              </w:rPr>
              <w:t>区别列表：</w:t>
            </w:r>
          </w:p>
          <w:tbl>
            <w:tblPr>
              <w:tblBorders>
                <w:top w:val="none" w:color="000000" w:sz="4"/>
                <w:left w:val="none" w:color="000000" w:sz="4"/>
                <w:bottom w:val="none" w:color="000000" w:sz="4"/>
                <w:right w:val="none" w:color="000000" w:sz="4"/>
                <w:insideH w:val="none"/>
                <w:insideV w:val="none"/>
              </w:tblBorders>
            </w:tblPr>
            <w:tblGrid>
              <w:gridCol w:w="420"/>
              <w:gridCol w:w="597"/>
              <w:gridCol w:w="801"/>
              <w:gridCol w:w="371"/>
              <w:gridCol w:w="353"/>
            </w:tblGrid>
            <w:tr>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
                    <w:jc w:val="center"/>
                  </w:pPr>
                  <w:r>
                    <w:rPr>
                      <w:rFonts w:ascii="仿宋_GB2312" w:hAnsi="仿宋_GB2312" w:cs="仿宋_GB2312" w:eastAsia="仿宋_GB2312"/>
                      <w:sz w:val="21"/>
                      <w:b/>
                      <w:color w:val="000000"/>
                    </w:rPr>
                    <w:t>模块</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菜单</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区别要点</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V5.5</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V3</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系统操作</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系统通知</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接收用户消息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修改密码</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密码强度控制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流程引擎</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自定义流程图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一次评价分配</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一次评价计算</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绩效发布管理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RVU点数维护</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数据还原</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数据权限控制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核算模型管理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绩效模拟测算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方案对比测算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DRG、DIP绩效方案的规则引擎</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方案审核</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手工数据管理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数据权限控制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手工数据审核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数据权限控制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二次评价分配</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科室绩效发布</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发放单元绩效调剂</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科室绩效分配</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自定义人员金额数据验证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多批次分配</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科室分配项目</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自定义项目分配数据验证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可分配项目权限控制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科室分配审核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自定义审批流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二次分配计算方案</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二次分配数据录入</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历史计算方案查询</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二次分配计算</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二次分配审核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医院分配项目</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医院计发分配</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医院计发审核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专项绩效评价</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专项绩效查询</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专项绩效管理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参数维护</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成本数据</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成本科目维护</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任意层级的成本科目结构</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成本数据管理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数据权限控制</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预提待摊</w:t>
                  </w:r>
                  <w:r>
                    <w:rPr>
                      <w:rFonts w:ascii="仿宋_GB2312" w:hAnsi="仿宋_GB2312" w:cs="仿宋_GB2312" w:eastAsia="仿宋_GB2312"/>
                      <w:sz w:val="21"/>
                      <w:color w:val="000000"/>
                    </w:rPr>
                    <w:t>/成本平移</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成本数据审核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固定资产清单</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核算单元折旧计算</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房屋折旧数据</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物资字典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指标管理</w:t>
                  </w: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指标管理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自定义评分规则</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多考核主体权重设置</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目标值管理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人事信息</w:t>
                  </w: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员工信息管理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员工主索引</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自定义属性</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按月归档</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员工月查询</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护理能级字典</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个人职类</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组织架构管理</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核算单元管理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审计日志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发放单元管理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医疗组管理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排班管理</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节假日维护</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区分周休、节日</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数据汇总分析</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表格数据分析</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数据采集情况</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表格数据维护</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点数明细查询</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后台明细透视图</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科室后台明细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科室绩效查询</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运营管理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绩效文档管理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基础数据归档</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通用工具</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消息管理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权限控制</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用户管理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登录失败超限锁定及解锁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权限管理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控件权限</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菜单管理</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用户科室访问权限</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通过上传文档批量配置</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w:t>
                  </w:r>
                </w:p>
              </w:tc>
              <w:tc>
                <w:tcPr>
                  <w:tcW w:type="dxa" w:w="5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水印保护</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敏感操作身份认证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元数据管理</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r>
              <w:tc>
                <w:tcPr>
                  <w:tcW w:type="dxa" w:w="420"/>
                  <w:vMerge/>
                  <w:tcBorders>
                    <w:top w:val="none" w:color="000000" w:sz="4"/>
                    <w:left w:val="single" w:color="000000" w:sz="4"/>
                    <w:bottom w:val="none" w:color="000000" w:sz="4"/>
                    <w:right w:val="single" w:color="000000" w:sz="4"/>
                  </w:tcBorders>
                </w:tcPr>
                <w:p/>
              </w:tc>
              <w:tc>
                <w:tcPr>
                  <w:tcW w:type="dxa" w:w="597"/>
                  <w:vMerge/>
                  <w:tcBorders>
                    <w:top w:val="none" w:color="000000" w:sz="4"/>
                    <w:left w:val="none" w:color="000000" w:sz="4"/>
                    <w:bottom w:val="non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函数注册</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8E40"/>
                    </w:rPr>
                    <w:t>P</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color w:val="FF0000"/>
                    </w:rPr>
                    <w:t>Ï</w:t>
                  </w:r>
                </w:p>
              </w:tc>
            </w:tr>
          </w:tbl>
          <w:p>
            <w:pPr>
              <w:pStyle w:val="null3"/>
              <w:spacing w:before="315"/>
              <w:jc w:val="both"/>
            </w:pPr>
            <w:r>
              <w:rPr>
                <w:rFonts w:ascii="仿宋_GB2312" w:hAnsi="仿宋_GB2312" w:cs="仿宋_GB2312" w:eastAsia="仿宋_GB2312"/>
                <w:sz w:val="21"/>
                <w:b/>
              </w:rPr>
              <w:t>四、服务要求</w:t>
            </w:r>
          </w:p>
          <w:p>
            <w:pPr>
              <w:pStyle w:val="null3"/>
              <w:spacing w:before="150" w:after="150"/>
              <w:jc w:val="both"/>
              <w:outlineLvl w:val="0"/>
            </w:pPr>
            <w:r>
              <w:rPr>
                <w:rFonts w:ascii="仿宋_GB2312" w:hAnsi="仿宋_GB2312" w:cs="仿宋_GB2312" w:eastAsia="仿宋_GB2312"/>
                <w:sz w:val="21"/>
                <w:b/>
              </w:rPr>
              <w:t>1.团队人员的要求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1）团队人员中项目顾问（项目经理）需要有开放床位在2000 张床位以上综合省级医院的医院绩效管理咨询和绩效工资分配咨询经验。</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2）实施团队顾问人员需要有与本院同级别的医院咨询绩效管理和绩效工资分配的服务经验，有上述经验的实施顾问两名以上。</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3）上述实施顾问至少一名需要有医学教育和工作背景，包括医学、药学、公卫、护理本科及以上学位。</w:t>
            </w:r>
          </w:p>
          <w:p>
            <w:pPr>
              <w:pStyle w:val="null3"/>
              <w:spacing w:before="150" w:after="150"/>
              <w:jc w:val="both"/>
              <w:outlineLvl w:val="0"/>
            </w:pPr>
            <w:r>
              <w:rPr>
                <w:rFonts w:ascii="仿宋_GB2312" w:hAnsi="仿宋_GB2312" w:cs="仿宋_GB2312" w:eastAsia="仿宋_GB2312"/>
                <w:sz w:val="21"/>
                <w:b/>
              </w:rPr>
              <w:t>2.项目实施要求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1）在约定工期内，提供绩效方案设计服务，绩效方案设计需以RBRVS+DRG为主要评价工具，对医护技药等序列人员进行工作量评价，同时对应产出方案要在软件上呈现。</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2）在约定工期内，提供</w:t>
            </w:r>
            <w:r>
              <w:rPr>
                <w:rFonts w:ascii="仿宋_GB2312" w:hAnsi="仿宋_GB2312" w:cs="仿宋_GB2312" w:eastAsia="仿宋_GB2312"/>
                <w:sz w:val="21"/>
              </w:rPr>
              <w:t>两个科室的运营辅导：</w:t>
            </w:r>
            <w:r>
              <w:rPr>
                <w:rFonts w:ascii="仿宋_GB2312" w:hAnsi="仿宋_GB2312" w:cs="仿宋_GB2312" w:eastAsia="仿宋_GB2312"/>
                <w:sz w:val="21"/>
              </w:rPr>
              <w:t>包括参与科室目标设置，梳理运营目标体系，针对科室的现状做学科定位分析，通过规划科室的病种（包括关键病种、优势病种等），对新技术和新项目的引进预测分析，对科室的人力配置等方法。</w:t>
            </w:r>
          </w:p>
          <w:p>
            <w:pPr>
              <w:pStyle w:val="null3"/>
              <w:spacing w:after="120"/>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在服务期内，依据国家政策及医院发展战略调整，动态优化绩效方案和咨询服务。</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）提供数据整合方案，不包含接口费、服务器及配套的操作系统和数据库软件。</w:t>
            </w:r>
          </w:p>
          <w:p>
            <w:pPr>
              <w:pStyle w:val="null3"/>
              <w:spacing w:before="150" w:after="150"/>
              <w:jc w:val="both"/>
              <w:outlineLvl w:val="0"/>
            </w:pPr>
            <w:r>
              <w:rPr>
                <w:rFonts w:ascii="仿宋_GB2312" w:hAnsi="仿宋_GB2312" w:cs="仿宋_GB2312" w:eastAsia="仿宋_GB2312"/>
                <w:sz w:val="21"/>
                <w:b/>
              </w:rPr>
              <w:t>3.售后服务要求</w:t>
            </w:r>
          </w:p>
          <w:p>
            <w:pPr>
              <w:pStyle w:val="null3"/>
              <w:spacing w:after="120"/>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培训</w:t>
            </w:r>
          </w:p>
          <w:p>
            <w:pPr>
              <w:pStyle w:val="null3"/>
              <w:spacing w:after="120"/>
              <w:ind w:firstLine="480"/>
              <w:jc w:val="both"/>
            </w:pPr>
            <w:r>
              <w:rPr>
                <w:rFonts w:ascii="仿宋_GB2312" w:hAnsi="仿宋_GB2312" w:cs="仿宋_GB2312" w:eastAsia="仿宋_GB2312"/>
                <w:sz w:val="21"/>
              </w:rPr>
              <w:t>系统</w:t>
            </w:r>
            <w:r>
              <w:rPr>
                <w:rFonts w:ascii="仿宋_GB2312" w:hAnsi="仿宋_GB2312" w:cs="仿宋_GB2312" w:eastAsia="仿宋_GB2312"/>
                <w:sz w:val="21"/>
              </w:rPr>
              <w:t>实施</w:t>
            </w:r>
            <w:r>
              <w:rPr>
                <w:rFonts w:ascii="仿宋_GB2312" w:hAnsi="仿宋_GB2312" w:cs="仿宋_GB2312" w:eastAsia="仿宋_GB2312"/>
                <w:sz w:val="21"/>
              </w:rPr>
              <w:t>期间，中标人负责为院方免费培训项目人员，通过培训，使人员能熟练规范的进行操作，对一般故障能进行处理和日常维护</w:t>
            </w:r>
            <w:r>
              <w:rPr>
                <w:rFonts w:ascii="仿宋_GB2312" w:hAnsi="仿宋_GB2312" w:cs="仿宋_GB2312" w:eastAsia="仿宋_GB2312"/>
                <w:sz w:val="21"/>
              </w:rPr>
              <w:t>，两个科室的运营辅导：</w:t>
            </w:r>
            <w:r>
              <w:rPr>
                <w:rFonts w:ascii="仿宋_GB2312" w:hAnsi="仿宋_GB2312" w:cs="仿宋_GB2312" w:eastAsia="仿宋_GB2312"/>
                <w:sz w:val="21"/>
              </w:rPr>
              <w:t>包括参与科室目标设置，梳理运营目标体系，针对科室的现状做学科定位分析，通过规划科室的病种（包括关键病种、优势病种等），对新技术和新项目的引进预测分析，对科室的人力配置等方法。</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2）远程电话咨询支持</w:t>
            </w:r>
          </w:p>
          <w:p>
            <w:pPr>
              <w:pStyle w:val="null3"/>
              <w:spacing w:after="120"/>
              <w:ind w:firstLine="480"/>
              <w:jc w:val="both"/>
            </w:pPr>
            <w:r>
              <w:rPr>
                <w:rFonts w:ascii="仿宋_GB2312" w:hAnsi="仿宋_GB2312" w:cs="仿宋_GB2312" w:eastAsia="仿宋_GB2312"/>
                <w:sz w:val="21"/>
              </w:rPr>
              <w:t>免费提供全天</w:t>
            </w:r>
            <w:r>
              <w:rPr>
                <w:rFonts w:ascii="仿宋_GB2312" w:hAnsi="仿宋_GB2312" w:cs="仿宋_GB2312" w:eastAsia="仿宋_GB2312"/>
                <w:sz w:val="21"/>
              </w:rPr>
              <w:t>24小时的电话支持服务，解答院方在系统使用、维护过程中遇到的问题，及时提出解决问题的建议和操作方法。</w:t>
            </w:r>
          </w:p>
          <w:p>
            <w:pPr>
              <w:pStyle w:val="null3"/>
              <w:spacing w:after="120"/>
              <w:ind w:firstLine="480"/>
              <w:jc w:val="both"/>
            </w:pPr>
            <w:r>
              <w:rPr>
                <w:rFonts w:ascii="仿宋_GB2312" w:hAnsi="仿宋_GB2312" w:cs="仿宋_GB2312" w:eastAsia="仿宋_GB2312"/>
                <w:sz w:val="21"/>
              </w:rPr>
              <w:t>（</w:t>
            </w:r>
            <w:r>
              <w:rPr>
                <w:rFonts w:ascii="仿宋_GB2312" w:hAnsi="仿宋_GB2312" w:cs="仿宋_GB2312" w:eastAsia="仿宋_GB2312"/>
                <w:sz w:val="21"/>
              </w:rPr>
              <w:t>3）远程在线诊断和故障排除</w:t>
            </w:r>
          </w:p>
          <w:p>
            <w:pPr>
              <w:pStyle w:val="null3"/>
              <w:spacing w:after="120"/>
              <w:ind w:firstLine="480"/>
              <w:jc w:val="both"/>
            </w:pPr>
            <w:r>
              <w:rPr>
                <w:rFonts w:ascii="仿宋_GB2312" w:hAnsi="仿宋_GB2312" w:cs="仿宋_GB2312" w:eastAsia="仿宋_GB2312"/>
                <w:sz w:val="21"/>
              </w:rPr>
              <w:t>投标人能为采购方提供远程维护，对于电话咨询无法解决的问题，工程师经采购方授权通过电话线、宽带网等方式远程登录到院方网络系统进行在线接入处理。</w:t>
            </w:r>
          </w:p>
          <w:p>
            <w:pPr>
              <w:pStyle w:val="null3"/>
              <w:spacing w:after="120"/>
              <w:ind w:firstLine="480"/>
              <w:jc w:val="both"/>
            </w:pPr>
            <w:r>
              <w:rPr>
                <w:rFonts w:ascii="仿宋_GB2312" w:hAnsi="仿宋_GB2312" w:cs="仿宋_GB2312" w:eastAsia="仿宋_GB2312"/>
                <w:sz w:val="21"/>
              </w:rPr>
              <w:t>（</w:t>
            </w:r>
            <w:r>
              <w:rPr>
                <w:rFonts w:ascii="仿宋_GB2312" w:hAnsi="仿宋_GB2312" w:cs="仿宋_GB2312" w:eastAsia="仿宋_GB2312"/>
                <w:sz w:val="21"/>
              </w:rPr>
              <w:t>4）应急响应机制</w:t>
            </w:r>
          </w:p>
          <w:p>
            <w:pPr>
              <w:pStyle w:val="null3"/>
              <w:spacing w:after="120"/>
              <w:ind w:firstLine="480"/>
              <w:jc w:val="both"/>
            </w:pPr>
            <w:r>
              <w:rPr>
                <w:rFonts w:ascii="仿宋_GB2312" w:hAnsi="仿宋_GB2312" w:cs="仿宋_GB2312" w:eastAsia="仿宋_GB2312"/>
                <w:sz w:val="21"/>
              </w:rPr>
              <w:t>免费质保期内，如遇紧急故障工作人员在得到通知后</w:t>
            </w:r>
            <w:r>
              <w:rPr>
                <w:rFonts w:ascii="仿宋_GB2312" w:hAnsi="仿宋_GB2312" w:cs="仿宋_GB2312" w:eastAsia="仿宋_GB2312"/>
                <w:sz w:val="21"/>
              </w:rPr>
              <w:t>2小时内提供在线支持，如不能远程解决，投标人工作人员48小时内必须到达医院并设法排除故障</w:t>
            </w:r>
          </w:p>
          <w:p>
            <w:pPr>
              <w:pStyle w:val="null3"/>
              <w:spacing w:before="150" w:after="150"/>
              <w:jc w:val="both"/>
              <w:outlineLvl w:val="0"/>
            </w:pPr>
            <w:r>
              <w:rPr>
                <w:rFonts w:ascii="仿宋_GB2312" w:hAnsi="仿宋_GB2312" w:cs="仿宋_GB2312" w:eastAsia="仿宋_GB2312"/>
                <w:sz w:val="21"/>
                <w:b/>
              </w:rPr>
              <w:t>4.项目实施方法论</w:t>
            </w:r>
          </w:p>
          <w:tbl>
            <w:tblPr>
              <w:tblBorders>
                <w:top w:val="none" w:color="000000" w:sz="4"/>
                <w:left w:val="none" w:color="000000" w:sz="4"/>
                <w:bottom w:val="none" w:color="000000" w:sz="4"/>
                <w:right w:val="none" w:color="000000" w:sz="4"/>
                <w:insideH w:val="none"/>
                <w:insideV w:val="none"/>
              </w:tblBorders>
            </w:tblPr>
            <w:tblGrid>
              <w:gridCol w:w="190"/>
              <w:gridCol w:w="311"/>
              <w:gridCol w:w="226"/>
              <w:gridCol w:w="479"/>
              <w:gridCol w:w="814"/>
              <w:gridCol w:w="533"/>
            </w:tblGrid>
            <w:tr>
              <w:tc>
                <w:tcPr>
                  <w:tcW w:type="dxa" w:w="190"/>
                  <w:tcBorders>
                    <w:top w:val="single" w:color="000000" w:sz="4"/>
                    <w:left w:val="single" w:color="000000" w:sz="4"/>
                    <w:bottom w:val="single" w:color="000000" w:sz="4"/>
                    <w:right w:val="single" w:color="000000" w:sz="4"/>
                  </w:tcBorders>
                  <w:shd w:fill="D9D9D9"/>
                  <w:tcMar>
                    <w:top w:type="dxa" w:w="0"/>
                    <w:left w:type="dxa" w:w="30"/>
                    <w:bottom w:type="dxa" w:w="0"/>
                    <w:right w:type="dxa" w:w="30"/>
                  </w:tcMar>
                  <w:vAlign w:val="top"/>
                </w:tcPr>
                <w:p>
                  <w:pPr>
                    <w:pStyle w:val="null3"/>
                    <w:jc w:val="left"/>
                  </w:pPr>
                  <w:r>
                    <w:rPr>
                      <w:rFonts w:ascii="仿宋_GB2312" w:hAnsi="仿宋_GB2312" w:cs="仿宋_GB2312" w:eastAsia="仿宋_GB2312"/>
                      <w:sz w:val="21"/>
                    </w:rPr>
                    <w:t>步骤</w:t>
                  </w:r>
                </w:p>
              </w:tc>
              <w:tc>
                <w:tcPr>
                  <w:tcW w:type="dxa" w:w="311"/>
                  <w:tcBorders>
                    <w:top w:val="single" w:color="000000" w:sz="4"/>
                    <w:left w:val="none" w:color="000000" w:sz="4"/>
                    <w:bottom w:val="single" w:color="000000" w:sz="4"/>
                    <w:right w:val="single" w:color="000000" w:sz="4"/>
                  </w:tcBorders>
                  <w:shd w:fill="D9D9D9"/>
                  <w:tcMar>
                    <w:top w:type="dxa" w:w="0"/>
                    <w:left w:type="dxa" w:w="30"/>
                    <w:bottom w:type="dxa" w:w="0"/>
                    <w:right w:type="dxa" w:w="30"/>
                  </w:tcMar>
                  <w:vAlign w:val="top"/>
                </w:tcPr>
                <w:p>
                  <w:pPr>
                    <w:pStyle w:val="null3"/>
                    <w:ind w:firstLine="12"/>
                    <w:jc w:val="left"/>
                  </w:pPr>
                  <w:r>
                    <w:rPr>
                      <w:rFonts w:ascii="仿宋_GB2312" w:hAnsi="仿宋_GB2312" w:cs="仿宋_GB2312" w:eastAsia="仿宋_GB2312"/>
                      <w:sz w:val="21"/>
                    </w:rPr>
                    <w:t>大项</w:t>
                  </w:r>
                </w:p>
              </w:tc>
              <w:tc>
                <w:tcPr>
                  <w:tcW w:type="dxa" w:w="226"/>
                  <w:tcBorders>
                    <w:top w:val="single" w:color="000000" w:sz="4"/>
                    <w:left w:val="none" w:color="000000" w:sz="4"/>
                    <w:bottom w:val="single" w:color="000000" w:sz="4"/>
                    <w:right w:val="single" w:color="000000" w:sz="4"/>
                  </w:tcBorders>
                  <w:shd w:fill="D9D9D9"/>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项次</w:t>
                  </w:r>
                </w:p>
              </w:tc>
              <w:tc>
                <w:tcPr>
                  <w:tcW w:type="dxa" w:w="479"/>
                  <w:tcBorders>
                    <w:top w:val="single" w:color="000000" w:sz="4"/>
                    <w:left w:val="none" w:color="000000" w:sz="4"/>
                    <w:bottom w:val="single" w:color="000000" w:sz="4"/>
                    <w:right w:val="single" w:color="000000" w:sz="4"/>
                  </w:tcBorders>
                  <w:shd w:fill="D9D9D9"/>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细项</w:t>
                  </w:r>
                </w:p>
              </w:tc>
              <w:tc>
                <w:tcPr>
                  <w:tcW w:type="dxa" w:w="814"/>
                  <w:tcBorders>
                    <w:top w:val="single" w:color="000000" w:sz="4"/>
                    <w:left w:val="none" w:color="000000" w:sz="4"/>
                    <w:bottom w:val="single" w:color="000000" w:sz="4"/>
                    <w:right w:val="single" w:color="000000" w:sz="4"/>
                  </w:tcBorders>
                  <w:shd w:fill="D9D9D9"/>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内容</w:t>
                  </w:r>
                </w:p>
              </w:tc>
              <w:tc>
                <w:tcPr>
                  <w:tcW w:type="dxa" w:w="533"/>
                  <w:tcBorders>
                    <w:top w:val="single" w:color="000000" w:sz="4"/>
                    <w:left w:val="none" w:color="000000" w:sz="4"/>
                    <w:bottom w:val="single" w:color="000000" w:sz="4"/>
                    <w:right w:val="single" w:color="000000" w:sz="4"/>
                  </w:tcBorders>
                  <w:shd w:fill="D9D9D9"/>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产出结果</w:t>
                  </w:r>
                </w:p>
              </w:tc>
            </w:tr>
            <w:tr>
              <w:tc>
                <w:tcPr>
                  <w:tcW w:type="dxa" w:w="19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一</w:t>
                  </w:r>
                </w:p>
              </w:tc>
              <w:tc>
                <w:tcPr>
                  <w:tcW w:type="dxa" w:w="311"/>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2"/>
                    <w:jc w:val="left"/>
                  </w:pPr>
                  <w:r>
                    <w:rPr>
                      <w:rFonts w:ascii="仿宋_GB2312" w:hAnsi="仿宋_GB2312" w:cs="仿宋_GB2312" w:eastAsia="仿宋_GB2312"/>
                      <w:sz w:val="21"/>
                    </w:rPr>
                    <w:t>准备阶段</w:t>
                  </w: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现状调研</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根据对医院调研情况撰写</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医院绩效考核调研报告</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2</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计划书撰写</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撰写计划书及送达</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项目计划书</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3</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合同签订</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双方签订合约书以明确双方责任及结案交付成果</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合同书或项目确认书</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4</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项目小组成立</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由院方针对相关部门指派项目小组人员共同参与及配合实施</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小组名单及负责工作说明</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5</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启动说明会（可选过程）</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启动说明会</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启动会简报</w:t>
                  </w:r>
                </w:p>
              </w:tc>
            </w:tr>
            <w:tr>
              <w:tc>
                <w:tcPr>
                  <w:tcW w:type="dxa" w:w="19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二</w:t>
                  </w:r>
                </w:p>
              </w:tc>
              <w:tc>
                <w:tcPr>
                  <w:tcW w:type="dxa" w:w="311"/>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2"/>
                    <w:jc w:val="left"/>
                  </w:pPr>
                  <w:r>
                    <w:rPr>
                      <w:rFonts w:ascii="仿宋_GB2312" w:hAnsi="仿宋_GB2312" w:cs="仿宋_GB2312" w:eastAsia="仿宋_GB2312"/>
                      <w:sz w:val="21"/>
                    </w:rPr>
                    <w:t>绩效整体方案阶段</w:t>
                  </w: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6</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向院领导汇报</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明确需求，就提出方案进行汇报。确定是否医护分别计算绩效工资</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基本框架与高层达成共识</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7</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绩效框架方案</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考评对象、绩效方法、绩效工资总额和分配比例，与项目小组成员沟通，向高层汇报，需要经过确认</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经确认的框架方案（医院绩效考核分配方案）</w:t>
                  </w:r>
                </w:p>
              </w:tc>
            </w:tr>
            <w:tr>
              <w:tc>
                <w:tcPr>
                  <w:tcW w:type="dxa" w:w="19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三</w:t>
                  </w:r>
                </w:p>
              </w:tc>
              <w:tc>
                <w:tcPr>
                  <w:tcW w:type="dxa" w:w="311"/>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2"/>
                    <w:jc w:val="left"/>
                  </w:pPr>
                  <w:r>
                    <w:rPr>
                      <w:rFonts w:ascii="仿宋_GB2312" w:hAnsi="仿宋_GB2312" w:cs="仿宋_GB2312" w:eastAsia="仿宋_GB2312"/>
                      <w:sz w:val="21"/>
                    </w:rPr>
                    <w:t>绩效管理方案细化阶段</w:t>
                  </w: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8</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现有绩效考评和绩效工资方案分析</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现有考核方案和绩效工资额分配来源、方式的数据收集，分析各部门绩效工资水平，绩效工资总额情况</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是否需要调整，调整范围，绩效工资总额是否改变等建议</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9</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在整体方案基础上按考评对象细化方案</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按医生、护理、病区、门诊、医技分类进行方案细化</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各考评单元确定基本的考评方法和绩效工资测算公式</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10</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二次分配的指导原则</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针对各单元内部的二次分配，给出一个原则性的指导意见。供科室分配到个人的参考</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二次分配方案</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11</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细化方案经绩效小组确认</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医院方绩效项目小组向院领导汇报细化方案，确认方案</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书面确认。（医院绩效考评及绩效工资分配方案）</w:t>
                  </w:r>
                </w:p>
              </w:tc>
            </w:tr>
            <w:tr>
              <w:tc>
                <w:tcPr>
                  <w:tcW w:type="dxa" w:w="19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四</w:t>
                  </w:r>
                </w:p>
              </w:tc>
              <w:tc>
                <w:tcPr>
                  <w:tcW w:type="dxa" w:w="311"/>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2"/>
                    <w:jc w:val="left"/>
                  </w:pPr>
                  <w:r>
                    <w:rPr>
                      <w:rFonts w:ascii="仿宋_GB2312" w:hAnsi="仿宋_GB2312" w:cs="仿宋_GB2312" w:eastAsia="仿宋_GB2312"/>
                      <w:sz w:val="21"/>
                    </w:rPr>
                    <w:t>数据测算和方案调整阶段</w:t>
                  </w: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12</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项目数据核对</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建立</w:t>
                  </w:r>
                  <w:r>
                    <w:rPr>
                      <w:rFonts w:ascii="仿宋_GB2312" w:hAnsi="仿宋_GB2312" w:cs="仿宋_GB2312" w:eastAsia="仿宋_GB2312"/>
                      <w:sz w:val="21"/>
                    </w:rPr>
                    <w:t>RBRVS与医院收费项目数据对应</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13</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DRG系统对接</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和</w:t>
                  </w:r>
                  <w:r>
                    <w:rPr>
                      <w:rFonts w:ascii="仿宋_GB2312" w:hAnsi="仿宋_GB2312" w:cs="仿宋_GB2312" w:eastAsia="仿宋_GB2312"/>
                      <w:sz w:val="21"/>
                    </w:rPr>
                    <w:t>DRG系统大同数据接口并获取DRG相关数据，DRG下绩效方案服务量的工分计算要切实结合DRG支付价值，能为医院产生有效高价值的病种给与工作量计算工分。</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14</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护理和医技数据处理</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依据细化方案的内容，对护理和医技的数据进行处理。必要时对护理单元分级和分类</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模拟测算医、护、技数据</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依据上述工作，对医、护、技数据进行测算，计算出点单价，回归分析后，对前述数据进行调整</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医技人员的绩效工资初步测算结果</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16</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对医、护、技绩效工资方案调整</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依据测算的结果，对医、护、技的方案进行调整，接近院方可接受的范围</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绩效工资方案调整稿</w:t>
                  </w: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17</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挂号收费、入出院处、供应室绩效工资数据测算</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依据细化方案，测算挂号收费、入出院处、供应室的绩效工资方案。（供应室需要数据支持）</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r>
                    <w:rPr>
                      <w:rFonts w:ascii="仿宋_GB2312" w:hAnsi="仿宋_GB2312" w:cs="仿宋_GB2312" w:eastAsia="仿宋_GB2312"/>
                      <w:sz w:val="21"/>
                    </w:rPr>
                    <w:t>挂号收费、入出院处、供应室的绩效工资测算结果</w:t>
                  </w:r>
                </w:p>
              </w:tc>
            </w:tr>
            <w:tr>
              <w:tc>
                <w:tcPr>
                  <w:tcW w:type="dxa" w:w="19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五</w:t>
                  </w:r>
                </w:p>
              </w:tc>
              <w:tc>
                <w:tcPr>
                  <w:tcW w:type="dxa" w:w="311"/>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2"/>
                    <w:jc w:val="left"/>
                  </w:pPr>
                  <w:r>
                    <w:rPr>
                      <w:rFonts w:ascii="仿宋_GB2312" w:hAnsi="仿宋_GB2312" w:cs="仿宋_GB2312" w:eastAsia="仿宋_GB2312"/>
                      <w:sz w:val="21"/>
                    </w:rPr>
                    <w:t>方案交付和软件实施阶段</w:t>
                  </w: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90"/>
                    <w:jc w:val="left"/>
                  </w:pPr>
                  <w:r>
                    <w:rPr>
                      <w:rFonts w:ascii="仿宋_GB2312" w:hAnsi="仿宋_GB2312" w:cs="仿宋_GB2312" w:eastAsia="仿宋_GB2312"/>
                      <w:sz w:val="21"/>
                    </w:rPr>
                    <w:t>18</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绩效分配系统中交付字典数据</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RBRVS对照后的项目字典</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19</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交付调整方案和计算公式</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调整方案讲解，要点处理。所有的计算公式</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20</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交付配套绩效工资分配系统</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部署配套绩效工资分配系统</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vMerge/>
                  <w:tcBorders>
                    <w:top w:val="none" w:color="000000" w:sz="4"/>
                    <w:left w:val="single" w:color="000000" w:sz="4"/>
                    <w:bottom w:val="single" w:color="000000" w:sz="4"/>
                    <w:right w:val="single" w:color="000000" w:sz="4"/>
                  </w:tcBorders>
                </w:tcPr>
                <w:p/>
              </w:tc>
              <w:tc>
                <w:tcPr>
                  <w:tcW w:type="dxa" w:w="31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21</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交付后调整</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交付后一年内，提供不超过二次整体测算服务</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r>
              <w:tc>
                <w:tcPr>
                  <w:tcW w:type="dxa" w:w="1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3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2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22</w:t>
                  </w:r>
                </w:p>
              </w:tc>
              <w:tc>
                <w:tcPr>
                  <w:tcW w:type="dxa" w:w="47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50"/>
                    <w:jc w:val="left"/>
                  </w:pPr>
                  <w:r>
                    <w:rPr>
                      <w:rFonts w:ascii="仿宋_GB2312" w:hAnsi="仿宋_GB2312" w:cs="仿宋_GB2312" w:eastAsia="仿宋_GB2312"/>
                      <w:sz w:val="21"/>
                    </w:rPr>
                    <w:t>科室成员培训</w:t>
                  </w:r>
                </w:p>
              </w:tc>
              <w:tc>
                <w:tcPr>
                  <w:tcW w:type="dxa" w:w="81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6"/>
                    <w:jc w:val="left"/>
                  </w:pPr>
                  <w:r>
                    <w:rPr>
                      <w:rFonts w:ascii="仿宋_GB2312" w:hAnsi="仿宋_GB2312" w:cs="仿宋_GB2312" w:eastAsia="仿宋_GB2312"/>
                      <w:sz w:val="21"/>
                    </w:rPr>
                    <w:t>交付过程中以及交付完成后，实施人员及咨询人员需要和科室相关工作人员密切配合并赋能，包括方案设计理念、软件操作、方案调整等，并授权科室人员进行相应操作。</w:t>
                  </w:r>
                </w:p>
              </w:tc>
              <w:tc>
                <w:tcPr>
                  <w:tcW w:type="dxa" w:w="5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2"/>
                    <w:jc w:val="left"/>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合同签订后，乙方现场人员到位及软件环境安装完毕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（1）供应商应提供投标截止时间前近六个月中任何一个月纳税凭证，时间以税款所属时期为准（银行出具的缴税凭证或税务机关出具的证明的复印件，并加盖本单位公章）。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（3）依法免税或无须缴纳税收的投标人，应提供相应证明文件。 3.依法缴纳社会保障资金的相关材料： （1）供应商应提供投标截止时间前近六个月中至少一个月的缴纳社会保险的凭据（专用收据或社会保险缴纳清单），并加盖本单位公章。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（3）依法不需要缴纳社会保障资金的，应提供相应文件说明其依法不需要缴纳的证明材料复印件，并加盖本单位公章。 4.具备履行合同所必需的设备和专业技术能力的证明材料：提供承诺书。 5.参加政府采购活动前3年内在经营活动中没有重大违法记录的书面声明：提供承诺书。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（1）提供2023年度或者2024年度经审计的财务报告，应满足以下要求：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 *审计报告应当经过注册会计师行业统一监管平台备案赋码。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（2）提供资信证明扫描件，应满足以下要求：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供应商出现以下情况不得参与投标：1.单位负责人为同一人或者存在直接控股、管理关系的不同供应商，不得参加同一合同项下的政府采购活动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授权代表参与投标提供法定代表人（单位负责人）授权委托书（附法定代表人（单位负责人）、被授权人身份证复印件及被授权人截止开标前连续三个月在本单位社保缴纳的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本项目不接受由西安市红会医院职工及其亲属投资的企业参加投标。</w:t>
            </w:r>
          </w:p>
        </w:tc>
        <w:tc>
          <w:tcPr>
            <w:tcW w:type="dxa" w:w="3322"/>
          </w:tcPr>
          <w:p>
            <w:pPr>
              <w:pStyle w:val="null3"/>
            </w:pPr>
            <w:r>
              <w:rPr>
                <w:rFonts w:ascii="仿宋_GB2312" w:hAnsi="仿宋_GB2312" w:cs="仿宋_GB2312" w:eastAsia="仿宋_GB2312"/>
              </w:rPr>
              <w:t>本项目不接受由西安市红会医院职工及其亲属投资的企业参加投标。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首次报价未超过预算</w:t>
            </w:r>
          </w:p>
        </w:tc>
        <w:tc>
          <w:tcPr>
            <w:tcW w:type="dxa" w:w="3322"/>
          </w:tcPr>
          <w:p>
            <w:pPr>
              <w:pStyle w:val="null3"/>
            </w:pPr>
            <w:r>
              <w:rPr>
                <w:rFonts w:ascii="仿宋_GB2312" w:hAnsi="仿宋_GB2312" w:cs="仿宋_GB2312" w:eastAsia="仿宋_GB2312"/>
              </w:rPr>
              <w:t>首次报价未超过预算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响应内容未缺项、漏项</w:t>
            </w:r>
          </w:p>
        </w:tc>
        <w:tc>
          <w:tcPr>
            <w:tcW w:type="dxa" w:w="3322"/>
          </w:tcPr>
          <w:p>
            <w:pPr>
              <w:pStyle w:val="null3"/>
            </w:pPr>
            <w:r>
              <w:rPr>
                <w:rFonts w:ascii="仿宋_GB2312" w:hAnsi="仿宋_GB2312" w:cs="仿宋_GB2312" w:eastAsia="仿宋_GB2312"/>
              </w:rPr>
              <w:t>响应内容未缺项、漏项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