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版本号：JDZB2025-3320251202001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西安市水土保持监测站点改造提升项目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JDZB2025-33</w:t>
      </w:r>
      <w:r>
        <w:br/>
      </w:r>
      <w:r>
        <w:br/>
      </w:r>
      <w:r>
        <w:br/>
      </w:r>
    </w:p>
    <w:p>
      <w:pPr>
        <w:pStyle w:val="null3"/>
        <w:jc w:val="center"/>
        <w:outlineLvl w:val="2"/>
      </w:pPr>
      <w:r>
        <w:rPr>
          <w:rFonts w:ascii="仿宋_GB2312" w:hAnsi="仿宋_GB2312" w:cs="仿宋_GB2312" w:eastAsia="仿宋_GB2312"/>
          <w:sz w:val="28"/>
          <w:b/>
        </w:rPr>
        <w:t>西安市水利水土保持工作总站</w:t>
      </w:r>
    </w:p>
    <w:p>
      <w:pPr>
        <w:pStyle w:val="null3"/>
        <w:jc w:val="center"/>
        <w:outlineLvl w:val="2"/>
      </w:pPr>
      <w:r>
        <w:rPr>
          <w:rFonts w:ascii="仿宋_GB2312" w:hAnsi="仿宋_GB2312" w:cs="仿宋_GB2312" w:eastAsia="仿宋_GB2312"/>
          <w:sz w:val="28"/>
          <w:b/>
        </w:rPr>
        <w:t>九鼎工程管理咨询有限公司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九鼎工程管理咨询有限公司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西安市水利水土保持工作总站</w:t>
      </w:r>
      <w:r>
        <w:rPr>
          <w:rFonts w:ascii="仿宋_GB2312" w:hAnsi="仿宋_GB2312" w:cs="仿宋_GB2312" w:eastAsia="仿宋_GB2312"/>
        </w:rPr>
        <w:t>委托，拟对</w:t>
      </w:r>
      <w:r>
        <w:rPr>
          <w:rFonts w:ascii="仿宋_GB2312" w:hAnsi="仿宋_GB2312" w:cs="仿宋_GB2312" w:eastAsia="仿宋_GB2312"/>
        </w:rPr>
        <w:t>西安市水土保持监测站点改造提升项目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JDZB2025-33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西安市水土保持监测站点改造提升项目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项目旨在对现有水土保持监测站点的设施升级、设备更新与数字化赋能，全面提升站点水土流失动态监测能力，与国家水土保持监测站点优化布局工程衔接。实现径流小区土壤水分的自动化观测、传输和存储，提高观测资料的精度，同时，保证观测数据的稳定性和可靠性，保证仪器设备的安全性，实现对野外观测站的全覆盖监控，达到对现场实时管理与控制。确保监测站点正常运行，实现长期观测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1、授权委托书：供应商应授权合法的人员参加谈判，其中法定代表人直接参加的，须出具法定代表人身份证，并与营业执照上信息一致。法定代表人授权代表参加的，须出具法定代表人授权委托书;</w:t>
      </w:r>
    </w:p>
    <w:p>
      <w:pPr>
        <w:pStyle w:val="null3"/>
      </w:pPr>
      <w:r>
        <w:rPr>
          <w:rFonts w:ascii="仿宋_GB2312" w:hAnsi="仿宋_GB2312" w:cs="仿宋_GB2312" w:eastAsia="仿宋_GB2312"/>
        </w:rPr>
        <w:t>2、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控股关系说明：单位负责人为同一人或者存在直接控股、管理关系的不同单位，不得参加同一合同项下的政府采购活动。除单一来源采购项目外，为采购项目提供整体设计、规范编制或者项目管理、检测等服务的供应商，不得再参加该采购项目的其他采购活动;</w:t>
      </w:r>
    </w:p>
    <w:p>
      <w:pPr>
        <w:pStyle w:val="null3"/>
      </w:pPr>
      <w:r>
        <w:rPr>
          <w:rFonts w:ascii="仿宋_GB2312" w:hAnsi="仿宋_GB2312" w:cs="仿宋_GB2312" w:eastAsia="仿宋_GB2312"/>
        </w:rPr>
        <w:t>4、联合体：本项目不接受联合体谈判。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西安市水利水土保持工作总站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陕西省西安市未央区凤锦路58号沣惠综合服务大楼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西安市水利水土保持工作总站经办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九鼎工程管理咨询有限公司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西安市未央区二环北路西段福瑞苑大厦二单元18楼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15353051166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西安市水利水土保持工作总站</w:t>
      </w:r>
      <w:r>
        <w:rPr>
          <w:rFonts w:ascii="仿宋_GB2312" w:hAnsi="仿宋_GB2312" w:cs="仿宋_GB2312" w:eastAsia="仿宋_GB2312"/>
        </w:rPr>
        <w:t>和</w:t>
      </w:r>
      <w:r>
        <w:rPr>
          <w:rFonts w:ascii="仿宋_GB2312" w:hAnsi="仿宋_GB2312" w:cs="仿宋_GB2312" w:eastAsia="仿宋_GB2312"/>
        </w:rPr>
        <w:t>九鼎工程管理咨询有限公司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西安市水利水土保持工作总站</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九鼎工程管理咨询有限公司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西安市水利水土保持工作总站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九鼎工程管理咨询有限公司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1、合同文本。2、国家和行业制定的相应的标准和规范。 3、验收清单（注明品名、数量、价格、规格型号、产地和生产厂家）。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九鼎工程管理咨询有限公司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联系人：张晓妮</w:t>
      </w:r>
    </w:p>
    <w:p>
      <w:pPr>
        <w:pStyle w:val="null3"/>
      </w:pPr>
      <w:r>
        <w:rPr>
          <w:rFonts w:ascii="仿宋_GB2312" w:hAnsi="仿宋_GB2312" w:cs="仿宋_GB2312" w:eastAsia="仿宋_GB2312"/>
        </w:rPr>
        <w:t>联系电话：15353051166</w:t>
      </w:r>
    </w:p>
    <w:p>
      <w:pPr>
        <w:pStyle w:val="null3"/>
      </w:pPr>
      <w:r>
        <w:rPr>
          <w:rFonts w:ascii="仿宋_GB2312" w:hAnsi="仿宋_GB2312" w:cs="仿宋_GB2312" w:eastAsia="仿宋_GB2312"/>
        </w:rPr>
        <w:t>地址：西安市未央区二环北路西段福瑞苑大厦二单元18楼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旨在对现有水土保持监测站点的设施升级、设备更新与数字化赋能，全面提升站点水土流失动态监测能力，与国家水土保持监测站点优化布局工程衔接。实现径流小区土壤水分的自动化观测、传输和存储，提高观测资料的精度，同时，保证观测数据的稳定性和可靠性，保证仪器设备的安全性，实现对野外观测站的全覆盖监控，达到对现场实时管理与控制。确保监测站点正常运行，实现长期观测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713,700.00</w:t>
      </w:r>
    </w:p>
    <w:p>
      <w:pPr>
        <w:pStyle w:val="null3"/>
      </w:pPr>
      <w:r>
        <w:rPr>
          <w:rFonts w:ascii="仿宋_GB2312" w:hAnsi="仿宋_GB2312" w:cs="仿宋_GB2312" w:eastAsia="仿宋_GB2312"/>
        </w:rPr>
        <w:t>采购包最高限价（元）: 713,700.00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视频监控实时控制系统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176,500.00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土壤水分自动观测仪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前端数据采集系统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107,200.00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标的名称：视频监控实时控制系统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color w:val="000000"/>
              </w:rPr>
              <w:t>高精度实时控制系统由红外球型摄像机、立杆及安装配件、供电设备和避雷设施四部分组成。红外球型摄像机，对原地貌自然径流场进行实时监控，</w:t>
            </w:r>
            <w:r>
              <w:rPr>
                <w:rFonts w:ascii="仿宋_GB2312" w:hAnsi="仿宋_GB2312" w:cs="仿宋_GB2312" w:eastAsia="仿宋_GB2312"/>
                <w:sz w:val="20"/>
                <w:color w:val="000000"/>
              </w:rPr>
              <w:t>实现视频录像和存储。</w:t>
            </w:r>
            <w:r>
              <w:rPr>
                <w:rFonts w:ascii="仿宋_GB2312" w:hAnsi="仿宋_GB2312" w:cs="仿宋_GB2312" w:eastAsia="仿宋_GB2312"/>
                <w:sz w:val="20"/>
                <w:color w:val="000000"/>
              </w:rPr>
              <w:t>立杆及安装配件，主要用于固定红外球型摄像机。</w:t>
            </w:r>
            <w:r>
              <w:rPr>
                <w:rFonts w:ascii="仿宋_GB2312" w:hAnsi="仿宋_GB2312" w:cs="仿宋_GB2312" w:eastAsia="仿宋_GB2312"/>
                <w:sz w:val="20"/>
                <w:color w:val="000000"/>
              </w:rPr>
              <w:t>供电设备，通过太阳能电池板和蓄电池，为红外球型摄像机提供不间断电源。</w:t>
            </w:r>
            <w:r>
              <w:rPr>
                <w:rFonts w:ascii="仿宋_GB2312" w:hAnsi="仿宋_GB2312" w:cs="仿宋_GB2312" w:eastAsia="仿宋_GB2312"/>
                <w:sz w:val="20"/>
                <w:color w:val="000000"/>
              </w:rPr>
              <w:t>避雷设施，用于保护控制系统，避免遭受雷击灾害。</w:t>
            </w:r>
          </w:p>
          <w:tbl>
            <w:tblPr>
              <w:tblInd w:type="dxa" w:w="120"/>
              <w:tblBorders>
                <w:top w:val="none" w:color="000000" w:sz="4"/>
                <w:left w:val="none" w:color="000000" w:sz="4"/>
                <w:bottom w:val="none" w:color="000000" w:sz="4"/>
                <w:right w:val="none" w:color="000000" w:sz="4"/>
                <w:insideH w:val="none"/>
                <w:insideV w:val="none"/>
              </w:tblBorders>
            </w:tblPr>
            <w:tblGrid>
              <w:gridCol w:w="961"/>
              <w:gridCol w:w="1592"/>
            </w:tblGrid>
            <w:tr>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项目名称</w:t>
                  </w:r>
                </w:p>
              </w:tc>
              <w:tc>
                <w:tcPr>
                  <w:tcW w:type="dxa" w:w="1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技术参数</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红外球型</w:t>
                  </w:r>
                  <w:r>
                    <w:rPr>
                      <w:rFonts w:ascii="仿宋_GB2312" w:hAnsi="仿宋_GB2312" w:cs="仿宋_GB2312" w:eastAsia="仿宋_GB2312"/>
                      <w:sz w:val="20"/>
                      <w:color w:val="000000"/>
                    </w:rPr>
                    <w:t>摄像机</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400 万像素4寸红外+激光 4G 网络低功耗智能球机</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4G（移动、联通，电信）网络传输</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支持深度学习算法，有效提升</w:t>
                  </w:r>
                  <w:r>
                    <w:rPr>
                      <w:rFonts w:ascii="仿宋_GB2312" w:hAnsi="仿宋_GB2312" w:cs="仿宋_GB2312" w:eastAsia="仿宋_GB2312"/>
                      <w:sz w:val="20"/>
                      <w:color w:val="000000"/>
                    </w:rPr>
                    <w:t>Smart 和跟踪能力</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支持对微小运动物体（水沙）的检测、跟踪、抓拍</w:t>
                  </w:r>
                </w:p>
                <w:p>
                  <w:pPr>
                    <w:pStyle w:val="null3"/>
                    <w:jc w:val="both"/>
                  </w:pPr>
                  <w:r>
                    <w:rPr>
                      <w:rFonts w:ascii="仿宋_GB2312" w:hAnsi="仿宋_GB2312" w:cs="仿宋_GB2312" w:eastAsia="仿宋_GB2312"/>
                      <w:sz w:val="20"/>
                      <w:color w:val="000000"/>
                    </w:rPr>
                    <w:t>5.支持 24 小时监控录像</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立杆及安</w:t>
                  </w:r>
                  <w:r>
                    <w:rPr>
                      <w:rFonts w:ascii="仿宋_GB2312" w:hAnsi="仿宋_GB2312" w:cs="仿宋_GB2312" w:eastAsia="仿宋_GB2312"/>
                      <w:sz w:val="20"/>
                      <w:color w:val="000000"/>
                    </w:rPr>
                    <w:t>装配件</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根据放置设备的数量和尺寸来设计，与杆体大小协调，保证有充足的空间</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供电设备</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太阳能电池板、系统集成配电箱、胶体蓄电池，满足</w:t>
                  </w:r>
                  <w:r>
                    <w:rPr>
                      <w:rFonts w:ascii="仿宋_GB2312" w:hAnsi="仿宋_GB2312" w:cs="仿宋_GB2312" w:eastAsia="仿宋_GB2312"/>
                      <w:sz w:val="20"/>
                      <w:color w:val="000000"/>
                    </w:rPr>
                    <w:t>10 个阴雨天</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避雷设施</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接地网工频接地电阻值不大于</w:t>
                  </w:r>
                  <w:r>
                    <w:rPr>
                      <w:rFonts w:ascii="仿宋_GB2312" w:hAnsi="仿宋_GB2312" w:cs="仿宋_GB2312" w:eastAsia="仿宋_GB2312"/>
                      <w:sz w:val="20"/>
                      <w:color w:val="000000"/>
                    </w:rPr>
                    <w:t>1Ω</w:t>
                  </w:r>
                </w:p>
              </w:tc>
            </w:tr>
          </w:tbl>
          <w:p/>
        </w:tc>
      </w:tr>
    </w:tbl>
    <w:p>
      <w:pPr>
        <w:pStyle w:val="null3"/>
      </w:pPr>
      <w:r>
        <w:rPr>
          <w:rFonts w:ascii="仿宋_GB2312" w:hAnsi="仿宋_GB2312" w:cs="仿宋_GB2312" w:eastAsia="仿宋_GB2312"/>
        </w:rPr>
        <w:t>标的名称：土壤水分自动观测仪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color w:val="000000"/>
              </w:rPr>
              <w:t>土壤水分自动观测仪主要由四部分构成，即数据采集器、土壤温湿盐传感器、系统供电单元和数据管理部分。数据采集器：实现对系统的控制、数据存储，并对系统接入的传感器和工作方式等做编程处理。土壤温湿盐传感器：测量土壤的温度、水分和电导率。系统供电单元：通过蓄电池和太阳</w:t>
            </w:r>
            <w:r>
              <w:rPr>
                <w:rFonts w:ascii="仿宋_GB2312" w:hAnsi="仿宋_GB2312" w:cs="仿宋_GB2312" w:eastAsia="仿宋_GB2312"/>
                <w:sz w:val="20"/>
                <w:color w:val="000000"/>
              </w:rPr>
              <w:t>能板，提供不间断电源。数据管理部分：对采集器进行编程和控制等。</w:t>
            </w:r>
          </w:p>
          <w:tbl>
            <w:tblPr>
              <w:tblInd w:type="dxa" w:w="120"/>
              <w:tblBorders>
                <w:top w:val="none" w:color="000000" w:sz="4"/>
                <w:left w:val="none" w:color="000000" w:sz="4"/>
                <w:bottom w:val="none" w:color="000000" w:sz="4"/>
                <w:right w:val="none" w:color="000000" w:sz="4"/>
                <w:insideH w:val="none"/>
                <w:insideV w:val="none"/>
              </w:tblBorders>
            </w:tblPr>
            <w:tblGrid>
              <w:gridCol w:w="214"/>
              <w:gridCol w:w="676"/>
              <w:gridCol w:w="1661"/>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序号</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组成部分</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主要参数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数据采集器</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输入电压范围：</w:t>
                  </w:r>
                  <w:r>
                    <w:rPr>
                      <w:rFonts w:ascii="仿宋_GB2312" w:hAnsi="仿宋_GB2312" w:cs="仿宋_GB2312" w:eastAsia="仿宋_GB2312"/>
                      <w:sz w:val="20"/>
                      <w:color w:val="000000"/>
                    </w:rPr>
                    <w:t>-100～﹢2500mV</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操作温度范围：</w:t>
                  </w:r>
                  <w:r>
                    <w:rPr>
                      <w:rFonts w:ascii="仿宋_GB2312" w:hAnsi="仿宋_GB2312" w:cs="仿宋_GB2312" w:eastAsia="仿宋_GB2312"/>
                      <w:sz w:val="20"/>
                      <w:color w:val="000000"/>
                    </w:rPr>
                    <w:t>-40℃～70℃（标准）</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供电要求：</w:t>
                  </w:r>
                  <w:r>
                    <w:rPr>
                      <w:rFonts w:ascii="仿宋_GB2312" w:hAnsi="仿宋_GB2312" w:cs="仿宋_GB2312" w:eastAsia="仿宋_GB2312"/>
                      <w:sz w:val="20"/>
                      <w:color w:val="000000"/>
                    </w:rPr>
                    <w:t>16～32Vdc</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可支持的通信协议：</w:t>
                  </w:r>
                  <w:r>
                    <w:rPr>
                      <w:rFonts w:ascii="仿宋_GB2312" w:hAnsi="仿宋_GB2312" w:cs="仿宋_GB2312" w:eastAsia="仿宋_GB2312"/>
                      <w:sz w:val="20"/>
                      <w:color w:val="000000"/>
                    </w:rPr>
                    <w:t>PakBus, Modbus, DNP3, SDI-12, TCP, UDP, and others</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土壤温湿盐传感器</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传感器数量：</w:t>
                  </w:r>
                  <w:r>
                    <w:rPr>
                      <w:rFonts w:ascii="仿宋_GB2312" w:hAnsi="仿宋_GB2312" w:cs="仿宋_GB2312" w:eastAsia="仿宋_GB2312"/>
                      <w:sz w:val="20"/>
                      <w:color w:val="000000"/>
                    </w:rPr>
                    <w:t>5 个（5 个土层）</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土壤体积含水量测量范围：</w:t>
                  </w:r>
                  <w:r>
                    <w:rPr>
                      <w:rFonts w:ascii="仿宋_GB2312" w:hAnsi="仿宋_GB2312" w:cs="仿宋_GB2312" w:eastAsia="仿宋_GB2312"/>
                      <w:sz w:val="20"/>
                      <w:color w:val="000000"/>
                    </w:rPr>
                    <w:t>0～100％ VWC</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土壤体积含水量分辨率：</w:t>
                  </w:r>
                  <w:r>
                    <w:rPr>
                      <w:rFonts w:ascii="仿宋_GB2312" w:hAnsi="仿宋_GB2312" w:cs="仿宋_GB2312" w:eastAsia="仿宋_GB2312"/>
                      <w:sz w:val="20"/>
                      <w:color w:val="000000"/>
                    </w:rPr>
                    <w:t>0.1％ VWC</w:t>
                  </w:r>
                </w:p>
                <w:p>
                  <w:pPr>
                    <w:pStyle w:val="null3"/>
                    <w:jc w:val="left"/>
                  </w:pPr>
                  <w:r>
                    <w:rPr>
                      <w:rFonts w:ascii="仿宋_GB2312" w:hAnsi="仿宋_GB2312" w:cs="仿宋_GB2312" w:eastAsia="仿宋_GB2312"/>
                      <w:sz w:val="20"/>
                      <w:color w:val="000000"/>
                    </w:rPr>
                    <w:t>4.土壤体积含水量重复性（RMS 偏差）：0.07%</w:t>
                  </w:r>
                </w:p>
                <w:p>
                  <w:pPr>
                    <w:pStyle w:val="null3"/>
                    <w:numPr>
                      <w:ilvl w:val="0"/>
                      <w:numId w:val="1"/>
                    </w:numPr>
                    <w:jc w:val="left"/>
                  </w:pPr>
                  <w:r>
                    <w:rPr>
                      <w:rFonts w:ascii="仿宋_GB2312" w:hAnsi="仿宋_GB2312" w:cs="仿宋_GB2312" w:eastAsia="仿宋_GB2312"/>
                      <w:sz w:val="20"/>
                      <w:color w:val="000000"/>
                    </w:rPr>
                    <w:t>土壤体积含水量精度：</w:t>
                  </w:r>
                  <w:r>
                    <w:rPr>
                      <w:rFonts w:ascii="仿宋_GB2312" w:hAnsi="仿宋_GB2312" w:cs="仿宋_GB2312" w:eastAsia="仿宋_GB2312"/>
                      <w:sz w:val="20"/>
                      <w:color w:val="000000"/>
                    </w:rPr>
                    <w:t>±1％ (粗中介质)；±2.5％ (细纹 理介质)</w:t>
                  </w:r>
                </w:p>
                <w:p>
                  <w:pPr>
                    <w:pStyle w:val="null3"/>
                    <w:numPr>
                      <w:ilvl w:val="0"/>
                      <w:numId w:val="1"/>
                    </w:numPr>
                    <w:jc w:val="left"/>
                  </w:pPr>
                  <w:r>
                    <w:rPr>
                      <w:rFonts w:ascii="仿宋_GB2312" w:hAnsi="仿宋_GB2312" w:cs="仿宋_GB2312" w:eastAsia="仿宋_GB2312"/>
                      <w:sz w:val="20"/>
                      <w:color w:val="000000"/>
                    </w:rPr>
                    <w:t>土壤温度测量范围：</w:t>
                  </w:r>
                  <w:r>
                    <w:rPr>
                      <w:rFonts w:ascii="仿宋_GB2312" w:hAnsi="仿宋_GB2312" w:cs="仿宋_GB2312" w:eastAsia="仿宋_GB2312"/>
                      <w:sz w:val="20"/>
                      <w:color w:val="000000"/>
                    </w:rPr>
                    <w:t>-40～+60℃</w:t>
                  </w:r>
                </w:p>
                <w:p>
                  <w:pPr>
                    <w:pStyle w:val="null3"/>
                    <w:numPr>
                      <w:ilvl w:val="0"/>
                      <w:numId w:val="1"/>
                    </w:numPr>
                    <w:jc w:val="left"/>
                  </w:pPr>
                  <w:r>
                    <w:rPr>
                      <w:rFonts w:ascii="仿宋_GB2312" w:hAnsi="仿宋_GB2312" w:cs="仿宋_GB2312" w:eastAsia="仿宋_GB2312"/>
                      <w:sz w:val="20"/>
                      <w:color w:val="000000"/>
                    </w:rPr>
                    <w:t>土壤温度分辨率：</w:t>
                  </w:r>
                  <w:r>
                    <w:rPr>
                      <w:rFonts w:ascii="仿宋_GB2312" w:hAnsi="仿宋_GB2312" w:cs="仿宋_GB2312" w:eastAsia="仿宋_GB2312"/>
                      <w:sz w:val="20"/>
                      <w:color w:val="000000"/>
                    </w:rPr>
                    <w:t>0.1℃</w:t>
                  </w:r>
                </w:p>
                <w:p>
                  <w:pPr>
                    <w:pStyle w:val="null3"/>
                    <w:numPr>
                      <w:ilvl w:val="0"/>
                      <w:numId w:val="1"/>
                    </w:numPr>
                    <w:jc w:val="left"/>
                  </w:pPr>
                  <w:r>
                    <w:rPr>
                      <w:rFonts w:ascii="仿宋_GB2312" w:hAnsi="仿宋_GB2312" w:cs="仿宋_GB2312" w:eastAsia="仿宋_GB2312"/>
                      <w:sz w:val="20"/>
                      <w:color w:val="000000"/>
                    </w:rPr>
                    <w:t>土壤温度重复性（</w:t>
                  </w:r>
                  <w:r>
                    <w:rPr>
                      <w:rFonts w:ascii="仿宋_GB2312" w:hAnsi="仿宋_GB2312" w:cs="仿宋_GB2312" w:eastAsia="仿宋_GB2312"/>
                      <w:sz w:val="20"/>
                      <w:color w:val="000000"/>
                    </w:rPr>
                    <w:t>RMS 偏差）：0.01% 9.土壤温度准确度：±0.25℃</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土壤电导率测量范围：</w:t>
                  </w:r>
                  <w:r>
                    <w:rPr>
                      <w:rFonts w:ascii="仿宋_GB2312" w:hAnsi="仿宋_GB2312" w:cs="仿宋_GB2312" w:eastAsia="仿宋_GB2312"/>
                      <w:sz w:val="20"/>
                      <w:color w:val="000000"/>
                    </w:rPr>
                    <w:t>0～5000μS/cm</w:t>
                  </w:r>
                </w:p>
                <w:p>
                  <w:pPr>
                    <w:pStyle w:val="null3"/>
                    <w:jc w:val="left"/>
                  </w:pPr>
                  <w:r>
                    <w:rPr>
                      <w:rFonts w:ascii="仿宋_GB2312" w:hAnsi="仿宋_GB2312" w:cs="仿宋_GB2312" w:eastAsia="仿宋_GB2312"/>
                      <w:sz w:val="20"/>
                      <w:color w:val="000000"/>
                    </w:rPr>
                    <w:t>11.土壤孔隙水电导率：0~55000μS/cm 12.土壤温度分辨率：1 μS/cm</w:t>
                  </w:r>
                </w:p>
                <w:p>
                  <w:pPr>
                    <w:pStyle w:val="null3"/>
                    <w:jc w:val="left"/>
                  </w:pPr>
                  <w:r>
                    <w:rPr>
                      <w:rFonts w:ascii="仿宋_GB2312" w:hAnsi="仿宋_GB2312" w:cs="仿宋_GB2312" w:eastAsia="仿宋_GB2312"/>
                      <w:sz w:val="20"/>
                      <w:color w:val="000000"/>
                    </w:rPr>
                    <w:t>13.土壤温度重复性（RMS 偏差）：3μS/cm</w:t>
                  </w:r>
                </w:p>
                <w:p>
                  <w:pPr>
                    <w:pStyle w:val="null3"/>
                    <w:jc w:val="left"/>
                  </w:pPr>
                  <w:r>
                    <w:rPr>
                      <w:rFonts w:ascii="仿宋_GB2312" w:hAnsi="仿宋_GB2312" w:cs="仿宋_GB2312" w:eastAsia="仿宋_GB2312"/>
                      <w:sz w:val="20"/>
                      <w:color w:val="000000"/>
                    </w:rPr>
                    <w:t>14.土壤温度准确度：±25μS/cm@0~1000μS/cm ±2.5%@1000~2000μS/cm； ± 5%@2000~5000μS/cm</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无线传输终端</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4G 全网通无线传输数据</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系统供电单元</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蓄电池和太阳能板等</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系统安装支架</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三脚架</w:t>
                  </w:r>
                </w:p>
              </w:tc>
            </w:tr>
          </w:tbl>
          <w:p/>
        </w:tc>
      </w:tr>
    </w:tbl>
    <w:p>
      <w:pPr>
        <w:pStyle w:val="null3"/>
      </w:pPr>
      <w:r>
        <w:rPr>
          <w:rFonts w:ascii="仿宋_GB2312" w:hAnsi="仿宋_GB2312" w:cs="仿宋_GB2312" w:eastAsia="仿宋_GB2312"/>
        </w:rPr>
        <w:t>标的名称：前端数据采集系统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为实现对野外观测站的全覆盖监控和管理，站点拟配置服务器</w:t>
            </w:r>
            <w:r>
              <w:rPr>
                <w:rFonts w:ascii="仿宋_GB2312" w:hAnsi="仿宋_GB2312" w:cs="仿宋_GB2312" w:eastAsia="仿宋_GB2312"/>
                <w:sz w:val="20"/>
                <w:color w:val="000000"/>
              </w:rPr>
              <w:t>1 台、数据管理及存储设备 2 个。利用原有管理房，布设网络传输光纤 3km，配置服务器、数据管理及储存设备。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同签订后，达到付款条件起10 日内，乙方向甲方提供合同总额50%的银行保函后，甲方支付合同总金额的100.00%。乙方未在规定的时间内完成全部工作内容的，逾期超过10日的，甲方有权解除合同，乙方须退还甲方已支付的全部款项，并赔偿甲方因此遭受的全部损失</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（一）本项目验收产生的全部费用，由乙方自行承担。 （二）初验：产品到达交货地点后，乙方须提供质检部门产品抽样检查合格的检测报告（或生产厂家自检报告）及所提供货物（产品）的合格证、装箱清单、配件、随机工具、用户使用手册（产品使用说明书）、保修卡等资料交付给甲方，甲方根据合同要求，对产品进行外观验收、确认产品的产地、规格、型号和数量，甲方和乙方共同签署到货验收单。未签收到货验收单的产品不得擅自开箱安装。 （三）终验：产品安装、调试并正常运行后，乙方进行自测并形成自测报告，出现的问题限期整改。自检连续三次通过后，乙方方可提出验收申请。甲方确认乙方的自检内容后，会同乙方（必要时请有关专家）进行最终验收。验收合格后，填写项目验收单作为对产品的最终认可。 （四）验收依据： 1、本合同及附加文本； 2、谈判文件、成交供应商的响应文件及澄清（承诺）函； 3、国家相应的标准、规范。 4、验收报告（含不可篡改的现场影像及数据证明资料） 5、固定资产台账 6、仪器档案</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产品质量法》等相关法律法规规定的质量标准。自货物验收合格之日起计算,质保不少于12个月。2、乙方提供的产品及材料必须保证质量可靠，进货渠道正常，应全面满足谈判文件的要求，谈判文件未明确要求的内容，乙方须以甲方的补充要求为准，如发生质量问题由乙方承担全部责任。 3、乙方应保证所有产品的完好无损包括配套包装，如有缺漏、损坏，由乙方负责调换、补齐或赔偿。 4、服务期内服务内容等指标与合同有任何一项不符，甲方应尽快以书面形式向乙方提出索赔。同时应向政府采购管理部门报告。 5、乙方在收到采购人的通知后，应及时免费对服务内容及使用效果的不足或偏差进行补正。</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（一）售后服务效率要求：7*24 即时响应（包括电话响应）；电话响应无法解决时，24小时内到达现场。修复时间48小时内；如48小时内无法修复，应提供相应解决方案。售后服务标准要求： 技术服务：设备安装、调试和验收 2.卖方应在合同生效后的1个月内向用户提供详细的安装要求并提供技术咨询。3.仪器到达用户所在地，在接到用户通知后一周内进行安装调试，直至通过验收。4.技术培训：在用户所在地对用户进行为期1周的培训。培训内容包括仪器的技术原理、操作、数据处理、基本维护等。验收后半年内组织买方相关人员2人参加举办的相关应用培训班。5.保修期：保修期自仪器验收签字之日起计算。保修期间维修及零件更换费用由厂家负担。6.维修响应时间：卖方应在24小时内对用户的服务要求作出响应，维修服务包括电话指导和现场维修。 （二）为顺利推进政府采购电子化交易平台应用工作，供应商需要在线提交所有通过电子化交易平台实施的政府采购项目的响应文 件，同时，成交供应商领取成交通知书时，应线下提交纸质版响应文件，正本壹份、副本贰套、电子版壹套（U盘储存）至代 理机构。 线上电子响应文件与纸质响应文件一致;若正本和副本不符，以正本为准。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1.具有独立承担民事责任能力的法人、其他组织或自然人，并出具合法有效的营业执照或事业单位法人证书等国家规定的相关证明，自然人参与的提供其身份证明： 2.提供具有履行本合同所必需的设备和专业技术能力的说明及承诺； 3.税收缴纳证明：提供谈判截止日前一年内任意一个月的纳税证明或完税证明（增值税、印花税、城市维护建设费、企业所得税等一种或多种税种），依法免税的单位提供相关证明材料；4.社会保障资金缴纳证明：提供谈判截止日前一年内任意一个月的社保资金交纳证明，依法不需要缴纳社保资金的单位提供相关证明材料；5.提供参加政府采购活动前三年内在经营活动中没有重大违法记录的书面声明。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赋码审计报告（成立时间至开标时间不足一年的可提供成立后任意时段的资产负债表）或开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供应商应授权合法的人员参加谈判，其中法定代表人直接参加的，须出具法定代表人身份证，并与营业执照上信息一致。法定代表人授权代表参加的，须出具法定代表人授权委托书;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除单一来源采购项目外，为采购项目提供整体设计、规范编制或者项目管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供应商需在项目电子化交易系统中按要求填写《报价表》并进行电子签章。</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商务应答表 标的清单 报价表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