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7BD7E">
      <w:pPr>
        <w:pStyle w:val="8"/>
        <w:jc w:val="center"/>
        <w:outlineLvl w:val="1"/>
        <w:rPr>
          <w:rFonts w:hint="default"/>
          <w:color w:val="auto"/>
          <w:highlight w:val="none"/>
        </w:rPr>
      </w:pPr>
      <w:r>
        <w:rPr>
          <w:b/>
          <w:color w:val="auto"/>
          <w:sz w:val="36"/>
          <w:highlight w:val="none"/>
        </w:rPr>
        <w:t>第八章拟签订采购合同文本</w:t>
      </w:r>
    </w:p>
    <w:p w14:paraId="6F825230">
      <w:pPr>
        <w:widowControl w:val="0"/>
        <w:spacing w:line="360" w:lineRule="auto"/>
        <w:jc w:val="center"/>
        <w:textAlignment w:val="auto"/>
        <w:rPr>
          <w:rFonts w:hAnsi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kern w:val="2"/>
          <w:sz w:val="24"/>
          <w:szCs w:val="24"/>
          <w:highlight w:val="none"/>
        </w:rPr>
        <w:t>（本格式条款供双方签订合同参考，采购人可根据项目的实际情况增减条款和内容）</w:t>
      </w:r>
    </w:p>
    <w:p w14:paraId="7EFF6177">
      <w:pPr>
        <w:pStyle w:val="8"/>
        <w:rPr>
          <w:rFonts w:hint="default"/>
          <w:color w:val="auto"/>
          <w:highlight w:val="none"/>
        </w:rPr>
      </w:pPr>
      <w:bookmarkStart w:id="18" w:name="_GoBack"/>
      <w:bookmarkEnd w:id="18"/>
      <w:r>
        <w:rPr>
          <w:color w:val="auto"/>
          <w:highlight w:val="none"/>
        </w:rPr>
        <w:br w:type="page"/>
      </w:r>
    </w:p>
    <w:p w14:paraId="4374475F">
      <w:pPr>
        <w:spacing w:line="360" w:lineRule="auto"/>
        <w:jc w:val="center"/>
        <w:rPr>
          <w:rFonts w:ascii="宋体" w:hAnsi="宋体" w:eastAsia="宋体" w:cs="仿宋"/>
          <w:b/>
          <w:bCs/>
          <w:color w:val="auto"/>
          <w:sz w:val="40"/>
          <w:szCs w:val="40"/>
          <w:highlight w:val="none"/>
        </w:rPr>
      </w:pPr>
      <w:r>
        <w:rPr>
          <w:rFonts w:hint="eastAsia" w:ascii="宋体" w:hAnsi="宋体" w:eastAsia="宋体" w:cs="仿宋"/>
          <w:b/>
          <w:bCs/>
          <w:color w:val="auto"/>
          <w:sz w:val="40"/>
          <w:szCs w:val="40"/>
          <w:highlight w:val="none"/>
        </w:rPr>
        <w:t>西安市水土保持监测站点改造提升项目合同</w:t>
      </w:r>
    </w:p>
    <w:p w14:paraId="5CC3370A">
      <w:pPr>
        <w:rPr>
          <w:rFonts w:ascii="宋体" w:hAnsi="宋体" w:eastAsia="宋体" w:cs="仿宋"/>
          <w:color w:val="auto"/>
          <w:highlight w:val="none"/>
        </w:rPr>
      </w:pPr>
    </w:p>
    <w:p w14:paraId="60623130">
      <w:pPr>
        <w:rPr>
          <w:rFonts w:ascii="宋体" w:hAnsi="宋体" w:eastAsia="宋体" w:cs="仿宋"/>
          <w:color w:val="auto"/>
          <w:highlight w:val="none"/>
        </w:rPr>
      </w:pPr>
    </w:p>
    <w:p w14:paraId="0B53AA96">
      <w:pPr>
        <w:rPr>
          <w:rFonts w:ascii="宋体" w:hAnsi="宋体" w:eastAsia="宋体" w:cs="仿宋"/>
          <w:color w:val="auto"/>
          <w:highlight w:val="none"/>
        </w:rPr>
      </w:pPr>
    </w:p>
    <w:p w14:paraId="5CC1AC8D">
      <w:pPr>
        <w:rPr>
          <w:rFonts w:ascii="宋体" w:hAnsi="宋体" w:eastAsia="宋体" w:cs="仿宋"/>
          <w:color w:val="auto"/>
          <w:highlight w:val="none"/>
        </w:rPr>
      </w:pPr>
    </w:p>
    <w:p w14:paraId="17482F13">
      <w:pPr>
        <w:rPr>
          <w:rFonts w:ascii="宋体" w:hAnsi="宋体" w:eastAsia="宋体" w:cs="仿宋"/>
          <w:color w:val="auto"/>
          <w:highlight w:val="none"/>
        </w:rPr>
      </w:pPr>
    </w:p>
    <w:p w14:paraId="216F7145">
      <w:pPr>
        <w:jc w:val="center"/>
        <w:rPr>
          <w:rFonts w:ascii="宋体" w:hAnsi="宋体" w:eastAsia="宋体" w:cs="仿宋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仿宋"/>
          <w:b/>
          <w:color w:val="auto"/>
          <w:sz w:val="36"/>
          <w:szCs w:val="36"/>
          <w:highlight w:val="none"/>
        </w:rPr>
        <w:t>（示范文本）</w:t>
      </w:r>
    </w:p>
    <w:p w14:paraId="49BAA336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2E80D566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2C538B74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48DB4719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0FD5F4B5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38A92710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35B4C99B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030AAD2A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6C264E2B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5E81F4DE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</w:p>
    <w:p w14:paraId="2D7A9D95">
      <w:pPr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color w:val="auto"/>
          <w:kern w:val="0"/>
          <w:sz w:val="30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  <w:t xml:space="preserve">签订日期：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  <w:t xml:space="preserve"> 年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  <w:t xml:space="preserve">月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  <w:t xml:space="preserve"> 日</w:t>
      </w:r>
    </w:p>
    <w:p w14:paraId="26E9E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/>
          <w:b/>
          <w:bCs/>
          <w:color w:val="auto"/>
          <w:kern w:val="0"/>
          <w:sz w:val="30"/>
          <w:highlight w:val="none"/>
          <w:u w:val="singl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合同条款及格式</w:t>
      </w:r>
    </w:p>
    <w:p w14:paraId="1DB9D8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</w:t>
      </w:r>
    </w:p>
    <w:p w14:paraId="5CC6787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</w:t>
      </w:r>
    </w:p>
    <w:p w14:paraId="43755A44">
      <w:pPr>
        <w:pStyle w:val="8"/>
        <w:spacing w:line="360" w:lineRule="auto"/>
        <w:ind w:firstLine="480" w:firstLineChars="200"/>
        <w:jc w:val="both"/>
        <w:outlineLvl w:val="2"/>
        <w:rPr>
          <w:rFonts w:hint="default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西安市水土保持监测站点改造提升项目（项目编号：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JDZB-2025-33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  <w:r>
        <w:rPr>
          <w:rFonts w:ascii="宋体" w:hAnsi="宋体" w:eastAsia="宋体" w:cs="宋体"/>
          <w:sz w:val="24"/>
          <w:szCs w:val="24"/>
          <w:highlight w:val="none"/>
          <w:lang w:val="zh-TW" w:eastAsia="zh-CN"/>
        </w:rPr>
        <w:t>，</w:t>
      </w:r>
      <w:r>
        <w:rPr>
          <w:rFonts w:ascii="宋体" w:hAnsi="宋体" w:eastAsia="宋体" w:cs="宋体"/>
          <w:sz w:val="24"/>
          <w:szCs w:val="24"/>
          <w:highlight w:val="none"/>
          <w:lang w:val="zh-TW" w:eastAsia="zh-TW"/>
        </w:rPr>
        <w:t>按照</w:t>
      </w:r>
      <w:r>
        <w:rPr>
          <w:rFonts w:ascii="宋体" w:hAnsi="宋体" w:eastAsia="宋体" w:cs="宋体"/>
          <w:sz w:val="24"/>
          <w:szCs w:val="24"/>
          <w:highlight w:val="none"/>
          <w:lang w:val="zh-TW" w:eastAsia="zh-CN"/>
        </w:rPr>
        <w:t>政府采</w:t>
      </w:r>
      <w:r>
        <w:rPr>
          <w:rFonts w:ascii="宋体" w:hAnsi="宋体" w:eastAsia="宋体" w:cs="宋体"/>
          <w:sz w:val="24"/>
          <w:szCs w:val="24"/>
          <w:highlight w:val="none"/>
          <w:lang w:val="zh-TW" w:eastAsia="zh-TW"/>
        </w:rPr>
        <w:t>购程序组织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ascii="宋体" w:hAnsi="宋体" w:eastAsia="宋体" w:cs="宋体"/>
          <w:sz w:val="24"/>
          <w:szCs w:val="24"/>
          <w:highlight w:val="none"/>
          <w:lang w:val="zh-TW" w:eastAsia="zh-TW"/>
        </w:rPr>
        <w:t>，确定乙方为</w:t>
      </w:r>
      <w:r>
        <w:rPr>
          <w:rFonts w:ascii="宋体" w:hAnsi="宋体" w:eastAsia="宋体" w:cs="宋体"/>
          <w:sz w:val="24"/>
          <w:szCs w:val="24"/>
          <w:highlight w:val="none"/>
          <w:lang w:eastAsia="zh-CN"/>
        </w:rPr>
        <w:t>中标人。依据《中华人民共和国政府采购法》、《中华人民共和国民法典》以及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ascii="宋体" w:hAnsi="宋体" w:eastAsia="宋体" w:cs="宋体"/>
          <w:sz w:val="24"/>
          <w:szCs w:val="24"/>
          <w:highlight w:val="none"/>
        </w:rPr>
        <w:t>文件、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成交</w:t>
      </w:r>
      <w:r>
        <w:rPr>
          <w:rFonts w:ascii="宋体" w:hAnsi="宋体" w:eastAsia="宋体" w:cs="宋体"/>
          <w:sz w:val="24"/>
          <w:szCs w:val="24"/>
          <w:highlight w:val="none"/>
          <w:lang w:eastAsia="zh-CN"/>
        </w:rPr>
        <w:t>通知书</w:t>
      </w:r>
      <w:r>
        <w:rPr>
          <w:rFonts w:ascii="宋体" w:hAnsi="宋体" w:eastAsia="宋体" w:cs="宋体"/>
          <w:sz w:val="24"/>
          <w:szCs w:val="24"/>
          <w:highlight w:val="none"/>
        </w:rPr>
        <w:t>，经甲、乙双方协商，达成如下合同条款。</w:t>
      </w:r>
    </w:p>
    <w:p w14:paraId="76963508">
      <w:pPr>
        <w:pStyle w:val="10"/>
        <w:spacing w:after="100" w:line="360" w:lineRule="auto"/>
        <w:ind w:firstLine="480"/>
        <w:rPr>
          <w:b/>
          <w:bCs/>
          <w:color w:val="auto"/>
          <w:sz w:val="24"/>
          <w:szCs w:val="24"/>
          <w:highlight w:val="none"/>
        </w:rPr>
      </w:pPr>
      <w:bookmarkStart w:id="0" w:name="bookmark6"/>
      <w:r>
        <w:rPr>
          <w:rFonts w:hint="eastAsia"/>
          <w:b/>
          <w:bCs/>
          <w:color w:val="auto"/>
          <w:sz w:val="24"/>
          <w:szCs w:val="24"/>
          <w:highlight w:val="none"/>
        </w:rPr>
        <w:t>一</w:t>
      </w:r>
      <w:bookmarkEnd w:id="0"/>
      <w:r>
        <w:rPr>
          <w:rFonts w:hint="eastAsia"/>
          <w:b/>
          <w:bCs/>
          <w:color w:val="auto"/>
          <w:sz w:val="24"/>
          <w:szCs w:val="24"/>
          <w:highlight w:val="none"/>
        </w:rPr>
        <w:t>、合同标的物内容（以</w:t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/>
          <w:b/>
          <w:bCs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/>
          <w:b/>
          <w:bCs/>
          <w:color w:val="auto"/>
          <w:sz w:val="24"/>
          <w:szCs w:val="24"/>
          <w:highlight w:val="none"/>
        </w:rPr>
        <w:t>正本和澄清表〈函〉为准）</w:t>
      </w:r>
    </w:p>
    <w:tbl>
      <w:tblPr>
        <w:tblStyle w:val="6"/>
        <w:tblW w:w="8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8"/>
        <w:gridCol w:w="1229"/>
        <w:gridCol w:w="1229"/>
        <w:gridCol w:w="1229"/>
        <w:gridCol w:w="1229"/>
        <w:gridCol w:w="888"/>
        <w:gridCol w:w="1022"/>
        <w:gridCol w:w="1022"/>
      </w:tblGrid>
      <w:tr w14:paraId="09287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9" w:hRule="exact"/>
          <w:jc w:val="center"/>
        </w:trPr>
        <w:tc>
          <w:tcPr>
            <w:tcW w:w="708" w:type="dxa"/>
            <w:noWrap/>
            <w:vAlign w:val="center"/>
          </w:tcPr>
          <w:p w14:paraId="0C5CA41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序号</w:t>
            </w:r>
          </w:p>
        </w:tc>
        <w:tc>
          <w:tcPr>
            <w:tcW w:w="1229" w:type="dxa"/>
            <w:noWrap/>
            <w:vAlign w:val="center"/>
          </w:tcPr>
          <w:p w14:paraId="4F356316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服务名称</w:t>
            </w:r>
          </w:p>
        </w:tc>
        <w:tc>
          <w:tcPr>
            <w:tcW w:w="1229" w:type="dxa"/>
            <w:noWrap/>
            <w:vAlign w:val="center"/>
          </w:tcPr>
          <w:p w14:paraId="7D45BC14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bidi="zh-TW"/>
              </w:rPr>
              <w:t>技术参数</w:t>
            </w:r>
          </w:p>
        </w:tc>
        <w:tc>
          <w:tcPr>
            <w:tcW w:w="1229" w:type="dxa"/>
            <w:noWrap/>
            <w:vAlign w:val="center"/>
          </w:tcPr>
          <w:p w14:paraId="087F3723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bidi="zh-TW"/>
              </w:rPr>
              <w:t>品牌/型号</w:t>
            </w:r>
          </w:p>
        </w:tc>
        <w:tc>
          <w:tcPr>
            <w:tcW w:w="1229" w:type="dxa"/>
            <w:noWrap/>
            <w:vAlign w:val="center"/>
          </w:tcPr>
          <w:p w14:paraId="29C354B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数量</w:t>
            </w:r>
          </w:p>
        </w:tc>
        <w:tc>
          <w:tcPr>
            <w:tcW w:w="888" w:type="dxa"/>
            <w:noWrap/>
            <w:vAlign w:val="center"/>
          </w:tcPr>
          <w:p w14:paraId="0AC1EE79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单价</w:t>
            </w:r>
          </w:p>
          <w:p w14:paraId="332E6E8F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（元）</w:t>
            </w:r>
          </w:p>
        </w:tc>
        <w:tc>
          <w:tcPr>
            <w:tcW w:w="1022" w:type="dxa"/>
            <w:noWrap/>
            <w:vAlign w:val="center"/>
          </w:tcPr>
          <w:p w14:paraId="642B9675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bidi="zh-TW"/>
              </w:rPr>
              <w:t>小计（元）</w:t>
            </w:r>
          </w:p>
        </w:tc>
        <w:tc>
          <w:tcPr>
            <w:tcW w:w="1022" w:type="dxa"/>
            <w:noWrap/>
            <w:vAlign w:val="center"/>
          </w:tcPr>
          <w:p w14:paraId="4AA31E90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bidi="zh-TW"/>
              </w:rPr>
              <w:t>备注</w:t>
            </w:r>
          </w:p>
        </w:tc>
      </w:tr>
      <w:tr w14:paraId="4016D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08" w:type="dxa"/>
            <w:noWrap/>
            <w:vAlign w:val="center"/>
          </w:tcPr>
          <w:p w14:paraId="325D82C9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1</w:t>
            </w:r>
          </w:p>
        </w:tc>
        <w:tc>
          <w:tcPr>
            <w:tcW w:w="1229" w:type="dxa"/>
            <w:noWrap/>
            <w:vAlign w:val="top"/>
          </w:tcPr>
          <w:p w14:paraId="09AF2EDE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5263D866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293E2FB7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76771795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002458CC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3D2B8B70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4F928A5B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3CA6A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08" w:type="dxa"/>
            <w:noWrap/>
            <w:vAlign w:val="bottom"/>
          </w:tcPr>
          <w:p w14:paraId="689E366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2</w:t>
            </w:r>
          </w:p>
        </w:tc>
        <w:tc>
          <w:tcPr>
            <w:tcW w:w="1229" w:type="dxa"/>
            <w:noWrap/>
            <w:vAlign w:val="top"/>
          </w:tcPr>
          <w:p w14:paraId="382682A9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395409BC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22350B2F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167C5A51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0D0DE0E4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1D8D1768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38EDCEBD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48A68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08" w:type="dxa"/>
            <w:noWrap/>
            <w:vAlign w:val="bottom"/>
          </w:tcPr>
          <w:p w14:paraId="79C7C567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3</w:t>
            </w:r>
          </w:p>
        </w:tc>
        <w:tc>
          <w:tcPr>
            <w:tcW w:w="1229" w:type="dxa"/>
            <w:noWrap/>
            <w:vAlign w:val="top"/>
          </w:tcPr>
          <w:p w14:paraId="365D656F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7055D3B0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2CCF5921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42AFEAAB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4982726F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2F4193C8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2BCFC5BB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1C553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W w:w="708" w:type="dxa"/>
            <w:noWrap/>
            <w:vAlign w:val="center"/>
          </w:tcPr>
          <w:p w14:paraId="52B8E60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4</w:t>
            </w:r>
          </w:p>
        </w:tc>
        <w:tc>
          <w:tcPr>
            <w:tcW w:w="1229" w:type="dxa"/>
            <w:noWrap/>
            <w:vAlign w:val="top"/>
          </w:tcPr>
          <w:p w14:paraId="08E1AE65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73074817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4113EBAF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39A87BF5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60B312EE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0FF6ECC3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68B28843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61100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708" w:type="dxa"/>
            <w:noWrap/>
            <w:vAlign w:val="bottom"/>
          </w:tcPr>
          <w:p w14:paraId="6E066E2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5</w:t>
            </w:r>
          </w:p>
        </w:tc>
        <w:tc>
          <w:tcPr>
            <w:tcW w:w="1229" w:type="dxa"/>
            <w:noWrap/>
            <w:vAlign w:val="top"/>
          </w:tcPr>
          <w:p w14:paraId="19337790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3BA15F98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5E995931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20DECEAE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372A341B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1FDBE756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3DABEA42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738A7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08" w:type="dxa"/>
            <w:noWrap/>
            <w:vAlign w:val="bottom"/>
          </w:tcPr>
          <w:p w14:paraId="7FC47B6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6</w:t>
            </w:r>
          </w:p>
        </w:tc>
        <w:tc>
          <w:tcPr>
            <w:tcW w:w="1229" w:type="dxa"/>
            <w:noWrap/>
            <w:vAlign w:val="top"/>
          </w:tcPr>
          <w:p w14:paraId="7565800A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46DF635D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6C9FAD64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03F0B838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5DFC1211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2DAE4178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7507677B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3111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W w:w="708" w:type="dxa"/>
            <w:noWrap/>
            <w:vAlign w:val="bottom"/>
          </w:tcPr>
          <w:p w14:paraId="46C3C562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7</w:t>
            </w:r>
          </w:p>
        </w:tc>
        <w:tc>
          <w:tcPr>
            <w:tcW w:w="1229" w:type="dxa"/>
            <w:noWrap/>
            <w:vAlign w:val="top"/>
          </w:tcPr>
          <w:p w14:paraId="36D40F64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7C01079E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4A2B6D62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5C01581C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0AC6ADE7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62FEC8FB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525357FF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0D1A6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708" w:type="dxa"/>
            <w:noWrap/>
            <w:vAlign w:val="bottom"/>
          </w:tcPr>
          <w:p w14:paraId="056F0528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bidi="zh-TW"/>
              </w:rPr>
              <w:t>...</w:t>
            </w:r>
          </w:p>
        </w:tc>
        <w:tc>
          <w:tcPr>
            <w:tcW w:w="1229" w:type="dxa"/>
            <w:noWrap/>
            <w:vAlign w:val="top"/>
          </w:tcPr>
          <w:p w14:paraId="2030B937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462AD4A8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6647D42D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3EBB8104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15CF18AD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62E6EF4C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6C757B3A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4EEE1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W w:w="708" w:type="dxa"/>
            <w:noWrap/>
            <w:vAlign w:val="bottom"/>
          </w:tcPr>
          <w:p w14:paraId="590B869A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bidi="zh-TW"/>
              </w:rPr>
              <w:t>N</w:t>
            </w:r>
          </w:p>
        </w:tc>
        <w:tc>
          <w:tcPr>
            <w:tcW w:w="1229" w:type="dxa"/>
            <w:noWrap/>
            <w:vAlign w:val="top"/>
          </w:tcPr>
          <w:p w14:paraId="4F49DC57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06DB78B4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5CD7C522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229" w:type="dxa"/>
            <w:noWrap/>
            <w:vAlign w:val="top"/>
          </w:tcPr>
          <w:p w14:paraId="5450363D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888" w:type="dxa"/>
            <w:noWrap/>
            <w:vAlign w:val="top"/>
          </w:tcPr>
          <w:p w14:paraId="3825C36A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7A416EA9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  <w:tc>
          <w:tcPr>
            <w:tcW w:w="1022" w:type="dxa"/>
            <w:noWrap/>
            <w:vAlign w:val="top"/>
          </w:tcPr>
          <w:p w14:paraId="2278E49C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  <w:tr w14:paraId="294E1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08" w:type="dxa"/>
            <w:noWrap/>
            <w:vAlign w:val="bottom"/>
          </w:tcPr>
          <w:p w14:paraId="5FDD51B1">
            <w:pPr>
              <w:widowControl w:val="0"/>
              <w:spacing w:line="360" w:lineRule="auto"/>
              <w:jc w:val="center"/>
              <w:textAlignment w:val="auto"/>
              <w:rPr>
                <w:rFonts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lang w:val="zh-TW" w:eastAsia="zh-TW" w:bidi="zh-TW"/>
              </w:rPr>
              <w:t>合计</w:t>
            </w:r>
          </w:p>
        </w:tc>
        <w:tc>
          <w:tcPr>
            <w:tcW w:w="7848" w:type="dxa"/>
            <w:gridSpan w:val="7"/>
            <w:noWrap/>
            <w:vAlign w:val="top"/>
          </w:tcPr>
          <w:p w14:paraId="4F944578">
            <w:pPr>
              <w:widowControl w:val="0"/>
              <w:spacing w:line="360" w:lineRule="auto"/>
              <w:jc w:val="left"/>
              <w:textAlignment w:val="auto"/>
              <w:rPr>
                <w:rFonts w:hAnsi="宋体" w:cs="宋体"/>
                <w:sz w:val="24"/>
                <w:szCs w:val="24"/>
                <w:highlight w:val="none"/>
                <w:lang w:eastAsia="en-US" w:bidi="en-US"/>
              </w:rPr>
            </w:pPr>
          </w:p>
        </w:tc>
      </w:tr>
    </w:tbl>
    <w:p w14:paraId="1F706FC9">
      <w:pPr>
        <w:pStyle w:val="11"/>
        <w:spacing w:line="360" w:lineRule="auto"/>
        <w:ind w:firstLine="0"/>
        <w:rPr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（上表仅供参考,应根据项目具体内容修改填写，技术</w:t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参数可附附件</w:t>
      </w:r>
      <w:r>
        <w:rPr>
          <w:rFonts w:hint="eastAsia"/>
          <w:b/>
          <w:bCs/>
          <w:color w:val="auto"/>
          <w:sz w:val="24"/>
          <w:szCs w:val="24"/>
          <w:highlight w:val="none"/>
        </w:rPr>
        <w:t>或详见</w:t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响应</w:t>
      </w:r>
    </w:p>
    <w:p w14:paraId="046D41D4">
      <w:pPr>
        <w:pStyle w:val="11"/>
        <w:spacing w:line="360" w:lineRule="auto"/>
        <w:ind w:firstLine="0"/>
        <w:rPr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/>
          <w:b/>
          <w:bCs/>
          <w:color w:val="auto"/>
          <w:sz w:val="24"/>
          <w:szCs w:val="24"/>
          <w:highlight w:val="none"/>
        </w:rPr>
        <w:t>，需说明清楚，表格可根据实际情况调整）</w:t>
      </w:r>
    </w:p>
    <w:p w14:paraId="4532F7CA">
      <w:pPr>
        <w:widowControl w:val="0"/>
        <w:autoSpaceDE w:val="0"/>
        <w:autoSpaceDN w:val="0"/>
        <w:adjustRightInd w:val="0"/>
        <w:spacing w:line="360" w:lineRule="auto"/>
        <w:ind w:firstLine="482"/>
        <w:textAlignment w:val="auto"/>
        <w:rPr>
          <w:rFonts w:hAnsi="宋体" w:cs="宋体"/>
          <w:b/>
          <w:kern w:val="2"/>
          <w:sz w:val="24"/>
          <w:szCs w:val="24"/>
          <w:highlight w:val="none"/>
        </w:rPr>
      </w:pPr>
      <w:bookmarkStart w:id="1" w:name="bookmark7"/>
      <w:r>
        <w:rPr>
          <w:rFonts w:hint="eastAsia" w:hAnsi="宋体" w:cs="宋体"/>
          <w:b/>
          <w:kern w:val="2"/>
          <w:sz w:val="24"/>
          <w:szCs w:val="24"/>
          <w:highlight w:val="none"/>
        </w:rPr>
        <w:t>二</w:t>
      </w:r>
      <w:bookmarkEnd w:id="1"/>
      <w:r>
        <w:rPr>
          <w:rFonts w:hint="eastAsia" w:hAnsi="宋体" w:cs="宋体"/>
          <w:b/>
          <w:kern w:val="2"/>
          <w:sz w:val="24"/>
          <w:szCs w:val="24"/>
          <w:highlight w:val="none"/>
        </w:rPr>
        <w:t>、交货条件：</w:t>
      </w:r>
    </w:p>
    <w:p w14:paraId="0FB371C5">
      <w:pPr>
        <w:widowControl w:val="0"/>
        <w:spacing w:line="360" w:lineRule="auto"/>
        <w:ind w:firstLine="480"/>
        <w:jc w:val="left"/>
        <w:textAlignment w:val="auto"/>
        <w:rPr>
          <w:rFonts w:hAnsi="宋体" w:cs="宋体"/>
          <w:bCs/>
          <w:kern w:val="2"/>
          <w:sz w:val="24"/>
          <w:szCs w:val="24"/>
          <w:highlight w:val="none"/>
        </w:rPr>
      </w:pPr>
      <w:bookmarkStart w:id="2" w:name="bookmark8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（</w:t>
      </w:r>
      <w:bookmarkEnd w:id="2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一）交货地点：甲方指定地点。</w:t>
      </w:r>
    </w:p>
    <w:p w14:paraId="21AD51B0">
      <w:pPr>
        <w:widowControl w:val="0"/>
        <w:spacing w:line="360" w:lineRule="auto"/>
        <w:ind w:firstLine="480"/>
        <w:jc w:val="left"/>
        <w:textAlignment w:val="auto"/>
        <w:rPr>
          <w:rFonts w:hAnsi="宋体" w:cs="宋体"/>
          <w:bCs/>
          <w:kern w:val="2"/>
          <w:sz w:val="24"/>
          <w:szCs w:val="24"/>
          <w:highlight w:val="none"/>
        </w:rPr>
      </w:pPr>
      <w:bookmarkStart w:id="3" w:name="bookmark9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（</w:t>
      </w:r>
      <w:bookmarkEnd w:id="3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二）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项目建设期</w:t>
      </w:r>
      <w:r>
        <w:rPr>
          <w:rFonts w:hint="eastAsia" w:hAnsi="宋体" w:cs="宋体"/>
          <w:bCs/>
          <w:kern w:val="2"/>
          <w:sz w:val="24"/>
          <w:szCs w:val="24"/>
          <w:highlight w:val="none"/>
        </w:rPr>
        <w:t>：</w:t>
      </w:r>
    </w:p>
    <w:p w14:paraId="45EDC1A9">
      <w:pPr>
        <w:widowControl w:val="0"/>
        <w:spacing w:line="360" w:lineRule="auto"/>
        <w:ind w:firstLine="482"/>
        <w:jc w:val="left"/>
        <w:textAlignment w:val="auto"/>
        <w:rPr>
          <w:rFonts w:hAnsi="宋体" w:cs="宋体"/>
          <w:b/>
          <w:kern w:val="2"/>
          <w:sz w:val="24"/>
          <w:szCs w:val="24"/>
          <w:highlight w:val="none"/>
        </w:rPr>
      </w:pPr>
      <w:r>
        <w:rPr>
          <w:rFonts w:hint="eastAsia" w:hAnsi="宋体" w:cs="宋体"/>
          <w:b/>
          <w:kern w:val="2"/>
          <w:sz w:val="24"/>
          <w:szCs w:val="24"/>
          <w:highlight w:val="none"/>
        </w:rPr>
        <w:t>三、合同价款</w:t>
      </w:r>
    </w:p>
    <w:p w14:paraId="4F76AC18">
      <w:pPr>
        <w:widowControl w:val="0"/>
        <w:spacing w:line="360" w:lineRule="auto"/>
        <w:ind w:firstLine="480"/>
        <w:jc w:val="left"/>
        <w:textAlignment w:val="auto"/>
        <w:rPr>
          <w:rFonts w:hAnsi="宋体" w:cs="宋体"/>
          <w:bCs/>
          <w:kern w:val="2"/>
          <w:sz w:val="24"/>
          <w:szCs w:val="24"/>
          <w:highlight w:val="none"/>
        </w:rPr>
      </w:pPr>
      <w:r>
        <w:rPr>
          <w:rFonts w:hint="eastAsia" w:hAnsi="宋体" w:cs="宋体"/>
          <w:bCs/>
          <w:kern w:val="2"/>
          <w:sz w:val="24"/>
          <w:szCs w:val="24"/>
          <w:highlight w:val="none"/>
        </w:rPr>
        <w:t>（一）合同总价款为人民币</w:t>
      </w:r>
      <w:r>
        <w:rPr>
          <w:rFonts w:hint="eastAsia" w:hAnsi="宋体" w:cs="宋体"/>
          <w:bCs/>
          <w:kern w:val="2"/>
          <w:sz w:val="24"/>
          <w:szCs w:val="24"/>
          <w:highlight w:val="none"/>
          <w:u w:val="single"/>
        </w:rPr>
        <w:t xml:space="preserve">（大写）     </w:t>
      </w:r>
      <w:r>
        <w:rPr>
          <w:rFonts w:hint="eastAsia" w:hAnsi="宋体" w:cs="宋体"/>
          <w:bCs/>
          <w:kern w:val="2"/>
          <w:sz w:val="24"/>
          <w:szCs w:val="24"/>
          <w:highlight w:val="none"/>
          <w:u w:val="single"/>
        </w:rPr>
        <w:tab/>
      </w:r>
      <w:r>
        <w:rPr>
          <w:rFonts w:hint="eastAsia" w:hAnsi="宋体" w:cs="宋体"/>
          <w:bCs/>
          <w:kern w:val="2"/>
          <w:sz w:val="24"/>
          <w:szCs w:val="24"/>
          <w:highlight w:val="none"/>
        </w:rPr>
        <w:t>;¥</w:t>
      </w:r>
      <w:r>
        <w:rPr>
          <w:rFonts w:hint="eastAsia" w:hAnsi="宋体" w:cs="宋体"/>
          <w:bCs/>
          <w:kern w:val="2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bCs/>
          <w:kern w:val="2"/>
          <w:sz w:val="24"/>
          <w:szCs w:val="24"/>
          <w:highlight w:val="none"/>
        </w:rPr>
        <w:t>元。</w:t>
      </w:r>
    </w:p>
    <w:p w14:paraId="0B7C8271">
      <w:pPr>
        <w:widowControl w:val="0"/>
        <w:spacing w:line="360" w:lineRule="auto"/>
        <w:ind w:firstLine="480"/>
        <w:jc w:val="left"/>
        <w:textAlignment w:val="auto"/>
        <w:rPr>
          <w:rFonts w:hAnsi="宋体" w:cs="宋体"/>
          <w:bCs/>
          <w:kern w:val="2"/>
          <w:sz w:val="24"/>
          <w:szCs w:val="24"/>
          <w:highlight w:val="none"/>
        </w:rPr>
      </w:pPr>
      <w:bookmarkStart w:id="4" w:name="bookmark11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（</w:t>
      </w:r>
      <w:bookmarkEnd w:id="4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二）</w:t>
      </w:r>
      <w:r>
        <w:rPr>
          <w:rFonts w:hint="eastAsia" w:hAnsi="宋体" w:cs="宋体"/>
          <w:bCs/>
          <w:kern w:val="2"/>
          <w:sz w:val="24"/>
          <w:szCs w:val="24"/>
          <w:highlight w:val="none"/>
        </w:rPr>
        <w:tab/>
      </w:r>
      <w:r>
        <w:rPr>
          <w:rFonts w:hint="eastAsia" w:hAnsi="宋体" w:cs="宋体"/>
          <w:bCs/>
          <w:kern w:val="2"/>
          <w:sz w:val="24"/>
          <w:szCs w:val="24"/>
          <w:highlight w:val="none"/>
        </w:rPr>
        <w:t>合同总价包括但不限于货物的制造、包装、生产、运输、装卸、保险、检测、验收、税金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eastAsia="zh-CN"/>
        </w:rPr>
        <w:t>、招标代理服务费</w:t>
      </w:r>
      <w:r>
        <w:rPr>
          <w:rFonts w:hint="eastAsia" w:hAnsi="宋体" w:cs="宋体"/>
          <w:bCs/>
          <w:kern w:val="2"/>
          <w:sz w:val="24"/>
          <w:szCs w:val="24"/>
          <w:highlight w:val="none"/>
        </w:rPr>
        <w:t>等完成本项目所产生的一切费用。</w:t>
      </w:r>
    </w:p>
    <w:p w14:paraId="77E1CF4D">
      <w:pPr>
        <w:widowControl w:val="0"/>
        <w:spacing w:line="360" w:lineRule="auto"/>
        <w:ind w:firstLine="482"/>
        <w:jc w:val="left"/>
        <w:textAlignment w:val="auto"/>
        <w:rPr>
          <w:rFonts w:hAnsi="宋体" w:cs="宋体"/>
          <w:b/>
          <w:kern w:val="2"/>
          <w:sz w:val="24"/>
          <w:szCs w:val="24"/>
          <w:highlight w:val="none"/>
        </w:rPr>
      </w:pPr>
      <w:bookmarkStart w:id="5" w:name="bookmark12"/>
      <w:r>
        <w:rPr>
          <w:rFonts w:hint="eastAsia" w:hAnsi="宋体" w:cs="宋体"/>
          <w:b/>
          <w:kern w:val="2"/>
          <w:sz w:val="24"/>
          <w:szCs w:val="24"/>
          <w:highlight w:val="none"/>
        </w:rPr>
        <w:t>（</w:t>
      </w:r>
      <w:bookmarkEnd w:id="5"/>
      <w:r>
        <w:rPr>
          <w:rFonts w:hint="eastAsia" w:hAnsi="宋体" w:cs="宋体"/>
          <w:b/>
          <w:kern w:val="2"/>
          <w:sz w:val="24"/>
          <w:szCs w:val="24"/>
          <w:highlight w:val="none"/>
        </w:rPr>
        <w:t>三）</w:t>
      </w:r>
      <w:r>
        <w:rPr>
          <w:rFonts w:hint="eastAsia" w:hAnsi="宋体" w:cs="宋体"/>
          <w:b/>
          <w:kern w:val="2"/>
          <w:sz w:val="24"/>
          <w:szCs w:val="24"/>
          <w:highlight w:val="none"/>
        </w:rPr>
        <w:tab/>
      </w:r>
      <w:r>
        <w:rPr>
          <w:rFonts w:hint="eastAsia" w:hAnsi="宋体" w:cs="宋体"/>
          <w:b/>
          <w:kern w:val="2"/>
          <w:sz w:val="24"/>
          <w:szCs w:val="24"/>
          <w:highlight w:val="none"/>
        </w:rPr>
        <w:t>本项目为固定总价合同，不受市场价格变化因素的影响。</w:t>
      </w:r>
    </w:p>
    <w:p w14:paraId="614CCE42">
      <w:pPr>
        <w:widowControl w:val="0"/>
        <w:spacing w:line="360" w:lineRule="auto"/>
        <w:ind w:firstLine="482"/>
        <w:jc w:val="left"/>
        <w:textAlignment w:val="auto"/>
        <w:rPr>
          <w:rFonts w:hAnsi="宋体" w:cs="宋体"/>
          <w:b/>
          <w:kern w:val="2"/>
          <w:sz w:val="24"/>
          <w:szCs w:val="24"/>
          <w:highlight w:val="none"/>
        </w:rPr>
      </w:pPr>
      <w:bookmarkStart w:id="6" w:name="bookmark13"/>
      <w:r>
        <w:rPr>
          <w:rFonts w:hint="eastAsia" w:hAnsi="宋体" w:cs="宋体"/>
          <w:b/>
          <w:kern w:val="2"/>
          <w:sz w:val="24"/>
          <w:szCs w:val="24"/>
          <w:highlight w:val="none"/>
        </w:rPr>
        <w:t>四</w:t>
      </w:r>
      <w:bookmarkEnd w:id="6"/>
      <w:r>
        <w:rPr>
          <w:rFonts w:hint="eastAsia" w:hAnsi="宋体" w:cs="宋体"/>
          <w:b/>
          <w:kern w:val="2"/>
          <w:sz w:val="24"/>
          <w:szCs w:val="24"/>
          <w:highlight w:val="none"/>
        </w:rPr>
        <w:t>、款项结算</w:t>
      </w:r>
    </w:p>
    <w:p w14:paraId="60533CDA">
      <w:pPr>
        <w:widowControl w:val="0"/>
        <w:spacing w:line="360" w:lineRule="auto"/>
        <w:ind w:firstLine="480"/>
        <w:jc w:val="left"/>
        <w:textAlignment w:val="auto"/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</w:pPr>
      <w:bookmarkStart w:id="7" w:name="bookmark17"/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（一）付款方式：</w:t>
      </w:r>
    </w:p>
    <w:p w14:paraId="04C19DB6">
      <w:pPr>
        <w:widowControl w:val="0"/>
        <w:spacing w:line="360" w:lineRule="auto"/>
        <w:ind w:firstLine="480"/>
        <w:jc w:val="left"/>
        <w:textAlignment w:val="auto"/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CN"/>
        </w:rPr>
      </w:pP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采购包1： 付款条件说明：合同签订后，达到付款条件起10 日内，乙方向甲方提供合同总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额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50%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的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银行保函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后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，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支付合同总金额的100.00%。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乙方未在规定的时间内完成全部工作内容的，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逾期超过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10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日的，甲方有权解除合同，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en-US" w:eastAsia="zh-CN"/>
        </w:rPr>
        <w:t>乙方须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退还甲方已支付的全部款项，并赔偿甲方因此遭受的全部损失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CN"/>
        </w:rPr>
        <w:t>。</w:t>
      </w:r>
    </w:p>
    <w:p w14:paraId="3165135A">
      <w:pPr>
        <w:widowControl w:val="0"/>
        <w:spacing w:line="360" w:lineRule="auto"/>
        <w:ind w:firstLine="480"/>
        <w:jc w:val="left"/>
        <w:textAlignment w:val="auto"/>
        <w:rPr>
          <w:rFonts w:hAnsi="宋体" w:cs="宋体"/>
          <w:bCs/>
          <w:kern w:val="2"/>
          <w:sz w:val="24"/>
          <w:szCs w:val="24"/>
          <w:highlight w:val="none"/>
          <w:lang w:val="zh-TW" w:eastAsia="zh-TW"/>
        </w:rPr>
      </w:pP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（</w:t>
      </w:r>
      <w:bookmarkEnd w:id="7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二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）支付方式：银行转账。</w:t>
      </w:r>
      <w:bookmarkStart w:id="8" w:name="bookmark18"/>
    </w:p>
    <w:p w14:paraId="25FFA311">
      <w:pPr>
        <w:widowControl w:val="0"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（</w:t>
      </w:r>
      <w:bookmarkEnd w:id="8"/>
      <w:r>
        <w:rPr>
          <w:rFonts w:hint="eastAsia" w:hAnsi="宋体" w:cs="宋体"/>
          <w:bCs/>
          <w:kern w:val="2"/>
          <w:sz w:val="24"/>
          <w:szCs w:val="24"/>
          <w:highlight w:val="none"/>
        </w:rPr>
        <w:t>三</w:t>
      </w:r>
      <w:r>
        <w:rPr>
          <w:rFonts w:hint="eastAsia" w:hAnsi="宋体" w:cs="宋体"/>
          <w:bCs/>
          <w:kern w:val="2"/>
          <w:sz w:val="24"/>
          <w:szCs w:val="24"/>
          <w:highlight w:val="none"/>
          <w:lang w:val="zh-TW" w:eastAsia="zh-TW"/>
        </w:rPr>
        <w:t>）结算方式：付款前乙方应向甲方提供合法有效的发票。乙方持成交通知书、供货合同、发票，与甲方结算。</w:t>
      </w:r>
    </w:p>
    <w:p w14:paraId="6C8796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、双方的权利和义务</w:t>
      </w:r>
    </w:p>
    <w:p w14:paraId="753A7E2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（一）甲方的权利与义务</w:t>
      </w:r>
    </w:p>
    <w:p w14:paraId="4F0474C0">
      <w:pPr>
        <w:pStyle w:val="3"/>
        <w:spacing w:line="360" w:lineRule="auto"/>
        <w:ind w:firstLine="480" w:firstLineChars="200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1、积极配合乙方安装、调试、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施工、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验收工作。</w:t>
      </w:r>
      <w:bookmarkStart w:id="9" w:name="auto_fouce_6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甲方对乙方的安装调试方案具有最终审批权。</w:t>
      </w:r>
      <w:bookmarkEnd w:id="9"/>
    </w:p>
    <w:p w14:paraId="7A8D83B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2、组织使用单位严格按照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文件要求和标准验收货物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6B85D3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（二）乙方的权利与义务</w:t>
      </w:r>
    </w:p>
    <w:p w14:paraId="524D23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1、保证对其出售的产品享有合法的权利，不存在任何未曾向甲方透露的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可能影响甲方物权实现的权益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，如抵押权、质押权、 留置权。</w:t>
      </w:r>
    </w:p>
    <w:p w14:paraId="106286D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2、保证对其出售的产品或其任何一部分没有侵犯第三方的专利权、版权、商标权或其他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知识产权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C76695D">
      <w:pPr>
        <w:pStyle w:val="3"/>
        <w:spacing w:line="360" w:lineRule="auto"/>
        <w:ind w:firstLine="480" w:firstLineChars="200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3、负责产品的运输、安装与调试，并在合同约定的时间完工，运输及安装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施工全过程中的安全由乙方负责。</w:t>
      </w:r>
      <w:bookmarkStart w:id="10" w:name="auto_fouce_8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乙方需在每日施工前向甲方提交当日施工计划及人员清单，经甲方现场代表签字确认后方可实施。</w:t>
      </w:r>
      <w:bookmarkEnd w:id="10"/>
    </w:p>
    <w:p w14:paraId="5FD0AD1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4、按照合同约定要求甲方及时付款。</w:t>
      </w:r>
    </w:p>
    <w:p w14:paraId="150643F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5、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乙方承诺其提供的产品不侵犯第三方知识产权，若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因乙方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原因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致使甲方无法取得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完全物权或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乙方出售的产品存在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  <w:t>侵害第三方知识产权，甲方有权解除合同，要求乙方退还甲方已支付的全部款项，因乙方行为给甲方造成损失，包括但不限于直接损失、间接损失、重新招标产生的费用等均由乙方承担。</w:t>
      </w:r>
    </w:p>
    <w:p w14:paraId="4173A6C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、交货条件及质保期</w:t>
      </w:r>
    </w:p>
    <w:p w14:paraId="34A4A5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（一）交货期：</w:t>
      </w:r>
    </w:p>
    <w:p w14:paraId="28F78C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采购包1：</w:t>
      </w:r>
    </w:p>
    <w:p w14:paraId="0F09361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自合同签订之日起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个日历日完成全部项目内容，并交付采购人验收合格。</w:t>
      </w:r>
    </w:p>
    <w:p w14:paraId="01CAF52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（二）交货地点：甲方指定地点</w:t>
      </w:r>
    </w:p>
    <w:p w14:paraId="2244329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（三）质保期：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（采购包1）自货物最终验收合格之日起计算,质保不少于12个月。   </w:t>
      </w:r>
    </w:p>
    <w:p w14:paraId="639A5C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、运输</w:t>
      </w:r>
    </w:p>
    <w:p w14:paraId="378FFBA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（一）涉及的商品包装和快递包装，均应符合《商品包装政府采购需求标准（试行）》《快递包装政府采购需求标准（试行）》的要求，包装应适应于远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距离运输、防潮、防震、防锈和防野蛮装卸，以确保货物安全无损运抵指定地点。</w:t>
      </w:r>
    </w:p>
    <w:p w14:paraId="1C414123">
      <w:pPr>
        <w:pStyle w:val="3"/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乙方负责所有产品的运输，确保采购产品安全、完整到达甲方指定地点。运杂费用已包含在合同总价内，包括从产品供应地点所含的运输费、装卸费、安装费、保险费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人工费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等。</w:t>
      </w:r>
      <w:bookmarkStart w:id="11" w:name="auto_fouce_12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运输过程中货物损毁、灭失的风险由乙方承担。</w:t>
      </w:r>
      <w:bookmarkEnd w:id="11"/>
    </w:p>
    <w:p w14:paraId="139943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）运输方式由乙方自行选择，但必须保证按期交货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所有采购产品在运输、搬运的过程中，造成甲方损失的，由乙方为甲方修复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更新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或更换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49533B3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、质量保证</w:t>
      </w:r>
    </w:p>
    <w:p w14:paraId="55722A8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  <w:bookmarkStart w:id="12" w:name="auto_fouce_1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质保期内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出现非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甲方使用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不当导致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的质量问题，乙方应负责三包（包修、包换、包退），费用由乙方负担，甲方有权到乙方生产场地检查产品质量和生产进度。</w:t>
      </w:r>
      <w:bookmarkEnd w:id="12"/>
    </w:p>
    <w:p w14:paraId="52B7153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、售后服务</w:t>
      </w:r>
    </w:p>
    <w:p w14:paraId="7C45C6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乙方应按照国家有关法律法规和“三包”规定以及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文件要求和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文件中的“ 售后服务承诺”提供售后服务，但至少包括以下方面：</w:t>
      </w:r>
    </w:p>
    <w:p w14:paraId="016999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（一）乙方提供仪器的现场安装调试并达到对应的技术性能，并同时在现场对用户进行操作培训。如果现场安装测试指标未通过，甲方有权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解除合同，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要求退货并要求赔偿损失。</w:t>
      </w:r>
    </w:p>
    <w:p w14:paraId="629AD2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</w:t>
      </w:r>
      <w:bookmarkStart w:id="13" w:name="auto_fouce_1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乙方必须按照合同约定和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文件的实质性响应，仪器在调试通过后提供质保服务，在质保期内免费承担维保，进行系统测试，全面保养维护，确保正常运行，所有服务及配件全部免费，能及时地为甲方提供备品备件。质保期后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，乙方应继续为甲方提供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维修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服务，维修费用仅按乙方公开的备件价格清单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收取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成本费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，不得附加其他费用，且不得高于本合同约定价格，保障甲方长期权益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  <w:bookmarkEnd w:id="13"/>
    </w:p>
    <w:p w14:paraId="1B5090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（三）乙方应保证以优惠价格提供长期备件的供应，乙方有义务尽快提供所需要更换的部件，对于要求紧急部件，乙方应安排最快的方式运输。</w:t>
      </w:r>
    </w:p>
    <w:p w14:paraId="6262FD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（四）人员培训：乙方能够为甲方提供仪器的基本原理、操作、日常维护及基础分析仪器理论课程，并为甲方提供上机培训。大型仪器按照招标文件要求，提供免费中心培训名额。</w:t>
      </w:r>
    </w:p>
    <w:p w14:paraId="0622BB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（五）乙方具备完善的售后服务体系，有专职的维修工程师及应用工程师能够有效保证售后维修的及时、快捷，并负责提供技术支持，保证仪器的正常操作，并协助甲方进行方法开发。</w:t>
      </w:r>
    </w:p>
    <w:p w14:paraId="45875B9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（六）乙方定期对甲方进行回访，并对甲方提出的技术问题及时解决。</w:t>
      </w:r>
    </w:p>
    <w:p w14:paraId="4AC3C73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（七）乙方向甲方递交产品实施过程中的所有资料。以便甲方日后管理和维护。</w:t>
      </w:r>
    </w:p>
    <w:p w14:paraId="548832D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、验收</w:t>
      </w:r>
    </w:p>
    <w:p w14:paraId="11F6915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（一）本项目验收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产生的全部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费用，由乙方自行承担。</w:t>
      </w:r>
    </w:p>
    <w:p w14:paraId="4AC6E6F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初验：产品到达交货地点后，乙方须提供质检部门产品抽样检查合格的检测报告（或生产厂家自检报告）及所提供货物（产品）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</w:t>
      </w:r>
    </w:p>
    <w:p w14:paraId="23462E3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（三）终验：产品安装、调试并正常运行后，乙方进行自测并形成自测报告，出现的问题限期整改。自检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连续三次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通过后，乙方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方可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提出验收申请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甲方确认乙方的自检内容后，会同乙方（必要时请有关专家）进行最终验收。验收合格后，填写项目验收单作为对产品的最终认可。</w:t>
      </w:r>
    </w:p>
    <w:p w14:paraId="7678040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（四）验收依据：</w:t>
      </w:r>
    </w:p>
    <w:p w14:paraId="4BB1889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1、本合同及附加文本；</w:t>
      </w:r>
    </w:p>
    <w:p w14:paraId="60DA5CA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文件及澄清（承诺）函；</w:t>
      </w:r>
    </w:p>
    <w:p w14:paraId="7AA912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3、国家相应的标准、规范。</w:t>
      </w:r>
    </w:p>
    <w:p w14:paraId="43AA0D3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4、验收报告（含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不可篡改的现场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影像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及数据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证明资料）</w:t>
      </w:r>
    </w:p>
    <w:p w14:paraId="55DCE2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5、固定资产台账</w:t>
      </w:r>
    </w:p>
    <w:p w14:paraId="12D79CD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6、仪器档案</w:t>
      </w:r>
    </w:p>
    <w:p w14:paraId="077AEC4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、违约责任与解决争议的方法</w:t>
      </w:r>
    </w:p>
    <w:p w14:paraId="71507C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4" w:name="auto_fouce_1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按《民法典》中的相关条款执行。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但甲方因不可抗力或乙方原因导致的违约，甲方不承担违约责任。</w:t>
      </w:r>
      <w:bookmarkEnd w:id="1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60CABA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</w:t>
      </w:r>
      <w:bookmarkStart w:id="15" w:name="auto_fouce_20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未按合同要求提供货物或质量不能满足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文件技术要求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（包括但不限于技术参数偏离、检测报告造假、使用非约定品牌核心部件等情形）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，在约定的条件下，乙方必须无条件更换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提高技术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完善质量，否则，甲方有权解除合同，解除合同书面通知书到达乙方之日视为合同已解除，并按以下两种方式追究乙方的违约责任：</w:t>
      </w:r>
    </w:p>
    <w:p w14:paraId="43A0665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乙方赔偿甲方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因此遭受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的全部损失（包括但不限于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直接损失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间接损失、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可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得利益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损失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及为实现权利所支出的合理费用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）；</w:t>
      </w:r>
    </w:p>
    <w:p w14:paraId="6E45E5A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乙方支付甲方违约金，违约金计算方法：以合同总价为基数，支付甲方合同总价的</w:t>
      </w:r>
      <w:bookmarkStart w:id="16" w:name="auto_fouce_19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0%为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惩罚性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违约金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，且该违约金不抵扣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应承担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全部损失赔偿责任。</w:t>
      </w:r>
      <w:bookmarkEnd w:id="15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 xml:space="preserve"> </w:t>
      </w:r>
      <w:bookmarkStart w:id="17" w:name="auto_fouce_18"/>
    </w:p>
    <w:p w14:paraId="2EDC642A">
      <w:pPr>
        <w:spacing w:line="360" w:lineRule="auto"/>
        <w:ind w:firstLine="480" w:firstLineChars="200"/>
        <w:rPr>
          <w:rFonts w:hint="default" w:ascii="Calibri" w:hAnsi="Calibri" w:eastAsia="宋体" w:cs="Times New Roman"/>
          <w:color w:val="auto"/>
          <w:sz w:val="21"/>
          <w:szCs w:val="22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若因乙方原因导致甲方无法履行合同义务，甲方不承担任何违约责任。</w:t>
      </w:r>
      <w:bookmarkEnd w:id="17"/>
    </w:p>
    <w:p w14:paraId="578AFC48">
      <w:pPr>
        <w:spacing w:line="360" w:lineRule="auto"/>
        <w:ind w:firstLine="480" w:firstLineChars="200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因乙方迟延</w:t>
      </w:r>
      <w:bookmarkEnd w:id="16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履行超过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日、货物存在重大质量缺陷经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次整改仍未合格、乙方擅自转包或分包等情形导致甲方解除合同的，甲方不承担任何违约责任，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乙方支付甲方违约金，违约金计算方法：以合同总价为基数，支付甲方合同总价的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0%为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惩罚性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违约金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，且该违约金不抵扣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应承担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全部损失赔偿责任。</w:t>
      </w:r>
    </w:p>
    <w:p w14:paraId="6D8921B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合同争议解决的方式</w:t>
      </w:r>
    </w:p>
    <w:p w14:paraId="44D6B0B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（一）本合同在履行过程中发生的争议，由甲、乙双方当事人协商解决，协商不成的按下列第2种方式解决：</w:t>
      </w:r>
    </w:p>
    <w:p w14:paraId="388790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1、提交仲裁委员会仲裁；</w:t>
      </w:r>
    </w:p>
    <w:p w14:paraId="76EA670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2、依法向甲方所在地人民法院起诉。</w:t>
      </w:r>
    </w:p>
    <w:p w14:paraId="1E9CC6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（二）因质量问题发生的争议，由国家权威技术单位进行质量鉴定，该鉴定结论为最终结果，甲乙双方应当接受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费用由乙方承担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B0A118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十二、合同生效</w:t>
      </w:r>
    </w:p>
    <w:p w14:paraId="6335003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（一）本合同须经甲、乙双方的法定代表人（授权代理人）在合同书上签字并加盖本单位公章后正式生效。</w:t>
      </w:r>
    </w:p>
    <w:p w14:paraId="7887DA6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（二）合同生效后，甲、乙双方须严格执行本合同条款的规定，全面履行合同，违者按《中华人民共和国民法典》的有关规定承担相应责任。</w:t>
      </w:r>
    </w:p>
    <w:p w14:paraId="5F3A2A7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份，甲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方叁份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</w:t>
      </w:r>
    </w:p>
    <w:p w14:paraId="0EA7411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（四）本合同如有未尽事宜，甲、乙双方协商解决。</w:t>
      </w:r>
    </w:p>
    <w:p w14:paraId="0097498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auto"/>
          <w:spacing w:val="-6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（此后无正文）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52CB7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7D9C65C7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2AB60CDE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乙  方</w:t>
            </w:r>
          </w:p>
        </w:tc>
      </w:tr>
      <w:tr w14:paraId="31ED8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3CAFE861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0345AFA0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（盖章）</w:t>
            </w:r>
          </w:p>
        </w:tc>
      </w:tr>
      <w:tr w14:paraId="7C91A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448A74AA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0D55C48D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地址：</w:t>
            </w:r>
          </w:p>
        </w:tc>
      </w:tr>
      <w:tr w14:paraId="2DA6B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04278828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00B32153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邮编：</w:t>
            </w:r>
          </w:p>
        </w:tc>
      </w:tr>
      <w:tr w14:paraId="31C99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1FDADC3D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6DEBFE19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法定代表人：</w:t>
            </w:r>
          </w:p>
        </w:tc>
      </w:tr>
      <w:tr w14:paraId="646FD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1387E313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537CBEDB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被授权代表：</w:t>
            </w:r>
          </w:p>
        </w:tc>
      </w:tr>
      <w:tr w14:paraId="7F984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153C2BD0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152D2825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电话：</w:t>
            </w:r>
          </w:p>
        </w:tc>
      </w:tr>
      <w:tr w14:paraId="70518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7418FA0A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6A26FC73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传真：</w:t>
            </w:r>
          </w:p>
        </w:tc>
      </w:tr>
      <w:tr w14:paraId="5A51B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63560364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47934A6B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开户银行：</w:t>
            </w:r>
          </w:p>
        </w:tc>
      </w:tr>
      <w:tr w14:paraId="63DC9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5D77A55A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4C916923">
            <w:pPr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日期：</w:t>
            </w:r>
          </w:p>
        </w:tc>
      </w:tr>
    </w:tbl>
    <w:p w14:paraId="010E17E2"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A96FA">
    <w:pPr>
      <w:spacing w:line="220" w:lineRule="auto"/>
      <w:ind w:left="4662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4238F"/>
    <w:rsid w:val="069423CF"/>
    <w:rsid w:val="0B8E7D66"/>
    <w:rsid w:val="0C200B0D"/>
    <w:rsid w:val="16DE6798"/>
    <w:rsid w:val="17367C2F"/>
    <w:rsid w:val="19F65454"/>
    <w:rsid w:val="1BAD5FE6"/>
    <w:rsid w:val="23962BBE"/>
    <w:rsid w:val="2A14709E"/>
    <w:rsid w:val="2A7F4FF2"/>
    <w:rsid w:val="2BEE6015"/>
    <w:rsid w:val="33E852CA"/>
    <w:rsid w:val="4C84472C"/>
    <w:rsid w:val="4C9E3A07"/>
    <w:rsid w:val="4FEB675F"/>
    <w:rsid w:val="5778511F"/>
    <w:rsid w:val="61AE4251"/>
    <w:rsid w:val="634265E1"/>
    <w:rsid w:val="65C71020"/>
    <w:rsid w:val="6A5E6092"/>
    <w:rsid w:val="6C2C7E2E"/>
    <w:rsid w:val="724C1833"/>
    <w:rsid w:val="79A61795"/>
    <w:rsid w:val="79FC35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table" w:customStyle="1" w:styleId="9">
    <w:name w:val="Table Normal"/>
    <w:unhideWhenUsed/>
    <w:qFormat/>
    <w:uiPriority w:val="0"/>
    <w:tblPr>
      <w:tblStyle w:val="6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Body text|1"/>
    <w:qFormat/>
    <w:uiPriority w:val="0"/>
    <w:pPr>
      <w:widowControl w:val="0"/>
      <w:spacing w:line="391" w:lineRule="auto"/>
      <w:ind w:firstLine="400"/>
    </w:pPr>
    <w:rPr>
      <w:rFonts w:ascii="宋体" w:hAnsi="宋体" w:eastAsia="宋体" w:cs="宋体"/>
      <w:color w:val="000000"/>
      <w:sz w:val="22"/>
      <w:szCs w:val="22"/>
      <w:lang w:val="zh-TW" w:eastAsia="zh-TW" w:bidi="zh-TW"/>
    </w:rPr>
  </w:style>
  <w:style w:type="paragraph" w:customStyle="1" w:styleId="11">
    <w:name w:val="Table caption|1"/>
    <w:qFormat/>
    <w:uiPriority w:val="0"/>
    <w:pPr>
      <w:widowControl w:val="0"/>
      <w:spacing w:line="490" w:lineRule="exact"/>
      <w:ind w:firstLine="620"/>
    </w:pPr>
    <w:rPr>
      <w:rFonts w:ascii="宋体" w:hAnsi="宋体" w:eastAsia="宋体" w:cs="宋体"/>
      <w:color w:val="000000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3522</Words>
  <Characters>3553</Characters>
  <Lines>0</Lines>
  <Paragraphs>0</Paragraphs>
  <TotalTime>0</TotalTime>
  <ScaleCrop>false</ScaleCrop>
  <LinksUpToDate>false</LinksUpToDate>
  <CharactersWithSpaces>3681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2025-10-17T07:12:00Z</dcterms:created>
  <dc:creator>pc</dc:creator>
  <cp:lastModifiedBy>周周</cp:lastModifiedBy>
  <dcterms:modified xsi:type="dcterms:W3CDTF">2025-12-02T06:41:04Z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eyJoZGlkIjoiNGMwZDYxYmJkMWJjMDI0ZjA5MmExZDdmMzkzYTMzNjciLCJ1c2VySWQiOiI0MzgwODgxOTcifQ==</vt:lpwstr>
  </property>
  <property fmtid="{D5CDD505-2E9C-101B-9397-08002B2CF9AE}" pid="4" name="ICV">
    <vt:lpwstr>18385BAEBB9848E89F7A6A744B5CDDAA_13</vt:lpwstr>
  </property>
</Properties>
</file>