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版本号：WDZB2025-1153RR20251202001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西安市人力资源和社会保障局专家慰问品采购项目(三次)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WDZB2025-1153RR</w:t>
      </w:r>
      <w:r>
        <w:br/>
      </w:r>
      <w:r>
        <w:br/>
      </w:r>
      <w:r>
        <w:br/>
      </w:r>
    </w:p>
    <w:p>
      <w:pPr>
        <w:pStyle w:val="null3"/>
        <w:jc w:val="center"/>
        <w:outlineLvl w:val="2"/>
      </w:pPr>
      <w:r>
        <w:rPr>
          <w:rFonts w:ascii="仿宋_GB2312" w:hAnsi="仿宋_GB2312" w:cs="仿宋_GB2312" w:eastAsia="仿宋_GB2312"/>
          <w:sz w:val="28"/>
          <w:b/>
        </w:rPr>
        <w:t>西安市人力资源和社会保障局（本级）</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西安市人力资源和社会保障局（本级）</w:t>
      </w:r>
      <w:r>
        <w:rPr>
          <w:rFonts w:ascii="仿宋_GB2312" w:hAnsi="仿宋_GB2312" w:cs="仿宋_GB2312" w:eastAsia="仿宋_GB2312"/>
        </w:rPr>
        <w:t>委托，拟对</w:t>
      </w:r>
      <w:r>
        <w:rPr>
          <w:rFonts w:ascii="仿宋_GB2312" w:hAnsi="仿宋_GB2312" w:cs="仿宋_GB2312" w:eastAsia="仿宋_GB2312"/>
        </w:rPr>
        <w:t>西安市人力资源和社会保障局专家慰问品采购项目(三次)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WDZB2025-1153RR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西安市人力资源和社会保障局专家慰问品采购项目(三次)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西安市人力资源和社会保障局专家慰问品采购项目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采购包1（西安市人力资源和社会保障局专家慰问品采购项目）：属于专门面向中小企业采购。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西安市人力资源和社会保障局（本级）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张亚亚、曹国霞、张静、戚洪良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成交通知书确定的成交金额作为收费计算依据。经甲乙双方协商后决定，由成交人在领取成交通知书前向采购代理机构一次性支付。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西安市人力资源和社会保障局（本级）</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西安市人力资源和社会保障局（本级）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联系人：张亚亚</w:t>
      </w:r>
    </w:p>
    <w:p>
      <w:pPr>
        <w:pStyle w:val="null3"/>
      </w:pPr>
      <w:r>
        <w:rPr>
          <w:rFonts w:ascii="仿宋_GB2312" w:hAnsi="仿宋_GB2312" w:cs="仿宋_GB2312" w:eastAsia="仿宋_GB2312"/>
        </w:rPr>
        <w:t>联系电话：029-85561862/85561863转819</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西安市人力资源和社会保障局专家慰问品采购项目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专家慰问品一批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标的名称：专家慰问品一批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5"/>
              <w:gridCol w:w="1843"/>
              <w:gridCol w:w="223"/>
              <w:gridCol w:w="223"/>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户外手拉车</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1.展开尺</w:t>
                  </w:r>
                  <w:r>
                    <w:rPr>
                      <w:rFonts w:ascii="仿宋_GB2312" w:hAnsi="仿宋_GB2312" w:cs="仿宋_GB2312" w:eastAsia="仿宋_GB2312"/>
                      <w:sz w:val="24"/>
                    </w:rPr>
                    <w:t>寸：长113cm*宽65cm*高100cm(长宽高±10cm)。</w:t>
                  </w:r>
                </w:p>
                <w:p>
                  <w:pPr>
                    <w:pStyle w:val="null3"/>
                    <w:jc w:val="left"/>
                  </w:pPr>
                  <w:r>
                    <w:rPr>
                      <w:rFonts w:ascii="仿宋_GB2312" w:hAnsi="仿宋_GB2312" w:cs="仿宋_GB2312" w:eastAsia="仿宋_GB2312"/>
                      <w:sz w:val="24"/>
                    </w:rPr>
                    <w:t>2.收纳尺寸：长65cm*宽22cm*高85cm(长宽高±5cm)。</w:t>
                  </w:r>
                </w:p>
                <w:p>
                  <w:pPr>
                    <w:pStyle w:val="null3"/>
                    <w:jc w:val="left"/>
                  </w:pPr>
                  <w:r>
                    <w:rPr>
                      <w:rFonts w:ascii="仿宋_GB2312" w:hAnsi="仿宋_GB2312" w:cs="仿宋_GB2312" w:eastAsia="仿宋_GB2312"/>
                      <w:sz w:val="24"/>
                    </w:rPr>
                    <w:t>3.容量：</w:t>
                  </w:r>
                  <w:r>
                    <w:rPr>
                      <w:rFonts w:ascii="仿宋_GB2312" w:hAnsi="仿宋_GB2312" w:cs="仿宋_GB2312" w:eastAsia="仿宋_GB2312"/>
                      <w:sz w:val="21"/>
                    </w:rPr>
                    <w:t>≥</w:t>
                  </w:r>
                  <w:r>
                    <w:rPr>
                      <w:rFonts w:ascii="仿宋_GB2312" w:hAnsi="仿宋_GB2312" w:cs="仿宋_GB2312" w:eastAsia="仿宋_GB2312"/>
                      <w:sz w:val="24"/>
                    </w:rPr>
                    <w:t>180L。</w:t>
                  </w:r>
                </w:p>
                <w:p>
                  <w:pPr>
                    <w:pStyle w:val="null3"/>
                    <w:jc w:val="left"/>
                  </w:pPr>
                  <w:r>
                    <w:rPr>
                      <w:rFonts w:ascii="仿宋_GB2312" w:hAnsi="仿宋_GB2312" w:cs="仿宋_GB2312" w:eastAsia="仿宋_GB2312"/>
                      <w:sz w:val="24"/>
                    </w:rPr>
                    <w:t>4.承重：</w:t>
                  </w:r>
                  <w:r>
                    <w:rPr>
                      <w:rFonts w:ascii="仿宋_GB2312" w:hAnsi="仿宋_GB2312" w:cs="仿宋_GB2312" w:eastAsia="仿宋_GB2312"/>
                      <w:sz w:val="21"/>
                    </w:rPr>
                    <w:t>≥</w:t>
                  </w:r>
                  <w:r>
                    <w:rPr>
                      <w:rFonts w:ascii="仿宋_GB2312" w:hAnsi="仿宋_GB2312" w:cs="仿宋_GB2312" w:eastAsia="仿宋_GB2312"/>
                      <w:sz w:val="24"/>
                    </w:rPr>
                    <w:t>150kg。</w:t>
                  </w:r>
                </w:p>
                <w:p>
                  <w:pPr>
                    <w:pStyle w:val="null3"/>
                    <w:jc w:val="left"/>
                  </w:pPr>
                  <w:r>
                    <w:rPr>
                      <w:rFonts w:ascii="仿宋_GB2312" w:hAnsi="仿宋_GB2312" w:cs="仿宋_GB2312" w:eastAsia="仿宋_GB2312"/>
                      <w:sz w:val="24"/>
                    </w:rPr>
                    <w:t>5.产品净重：≤14kg，含车体和桌板。</w:t>
                  </w:r>
                </w:p>
                <w:p>
                  <w:pPr>
                    <w:pStyle w:val="null3"/>
                    <w:jc w:val="left"/>
                  </w:pPr>
                  <w:r>
                    <w:rPr>
                      <w:rFonts w:ascii="仿宋_GB2312" w:hAnsi="仿宋_GB2312" w:cs="仿宋_GB2312" w:eastAsia="仿宋_GB2312"/>
                      <w:sz w:val="24"/>
                    </w:rPr>
                    <w:t>6.材质：车架采用碳钢管材，管材厚度≥0.8mm;布料采用牛津布面料，材料纤维密度≥900D；车身塑料件为PP防摔原包料。</w:t>
                  </w:r>
                </w:p>
                <w:p>
                  <w:pPr>
                    <w:pStyle w:val="null3"/>
                    <w:jc w:val="left"/>
                  </w:pPr>
                  <w:r>
                    <w:rPr>
                      <w:rFonts w:ascii="仿宋_GB2312" w:hAnsi="仿宋_GB2312" w:cs="仿宋_GB2312" w:eastAsia="仿宋_GB2312"/>
                      <w:sz w:val="24"/>
                    </w:rPr>
                    <w:t>7.轮胎：坦</w:t>
                  </w:r>
                  <w:r>
                    <w:rPr>
                      <w:rFonts w:ascii="仿宋_GB2312" w:hAnsi="仿宋_GB2312" w:cs="仿宋_GB2312" w:eastAsia="仿宋_GB2312"/>
                      <w:sz w:val="24"/>
                    </w:rPr>
                    <w:t>克轮PP+PVC（胎面宽度≥8cm），带双刹车</w:t>
                  </w:r>
                </w:p>
                <w:p>
                  <w:pPr>
                    <w:pStyle w:val="null3"/>
                    <w:jc w:val="left"/>
                  </w:pPr>
                  <w:r>
                    <w:rPr>
                      <w:rFonts w:ascii="仿宋_GB2312" w:hAnsi="仿宋_GB2312" w:cs="仿宋_GB2312" w:eastAsia="仿宋_GB2312"/>
                      <w:sz w:val="24"/>
                    </w:rPr>
                    <w:t>8.车把：可折叠车把。</w:t>
                  </w:r>
                </w:p>
                <w:p>
                  <w:pPr>
                    <w:pStyle w:val="null3"/>
                    <w:jc w:val="left"/>
                  </w:pPr>
                  <w:r>
                    <w:rPr>
                      <w:rFonts w:ascii="仿宋_GB2312" w:hAnsi="仿宋_GB2312" w:cs="仿宋_GB2312" w:eastAsia="仿宋_GB2312"/>
                      <w:sz w:val="24"/>
                    </w:rPr>
                    <w:t>9.桌板：采用可拆卸式，安装在车厢上部，安装牢固，不易掉落，</w:t>
                  </w:r>
                  <w:r>
                    <w:rPr>
                      <w:rFonts w:ascii="仿宋_GB2312" w:hAnsi="仿宋_GB2312" w:cs="仿宋_GB2312" w:eastAsia="仿宋_GB2312"/>
                      <w:sz w:val="24"/>
                    </w:rPr>
                    <w:t>尺寸：长105cm*宽60cm(长宽±5cm)。</w:t>
                  </w:r>
                </w:p>
                <w:p>
                  <w:pPr>
                    <w:pStyle w:val="null3"/>
                    <w:jc w:val="left"/>
                  </w:pPr>
                  <w:r>
                    <w:rPr>
                      <w:rFonts w:ascii="仿宋_GB2312" w:hAnsi="仿宋_GB2312" w:cs="仿宋_GB2312" w:eastAsia="仿宋_GB2312"/>
                      <w:sz w:val="24"/>
                    </w:rPr>
                    <w:t>10.收纳方式：一提收纳快速折叠。</w:t>
                  </w:r>
                </w:p>
                <w:p>
                  <w:pPr>
                    <w:pStyle w:val="null3"/>
                    <w:jc w:val="left"/>
                  </w:pPr>
                  <w:r>
                    <w:rPr>
                      <w:rFonts w:ascii="仿宋_GB2312" w:hAnsi="仿宋_GB2312" w:cs="仿宋_GB2312" w:eastAsia="仿宋_GB2312"/>
                      <w:sz w:val="24"/>
                    </w:rPr>
                    <w:t>11.颜色：不限制。</w:t>
                  </w:r>
                </w:p>
                <w:p>
                  <w:pPr>
                    <w:pStyle w:val="null3"/>
                    <w:jc w:val="left"/>
                  </w:pPr>
                  <w:r>
                    <w:rPr>
                      <w:rFonts w:ascii="仿宋_GB2312" w:hAnsi="仿宋_GB2312" w:cs="仿宋_GB2312" w:eastAsia="仿宋_GB2312"/>
                      <w:sz w:val="24"/>
                    </w:rPr>
                    <w:t>12.包装方式：彩盒+牛津布收纳袋。</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货物送达采购人指定仓储地点，并承担货物存储至2026年03月31日前的全部存储费用。</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供应商将货物送达甲方指定仓储地点，且货物经甲方验收合格后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供应商按照甲方要求将全部货物逐一发放至指定人手中后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与采购人应严格按照政府采购相关法律法规以及《财政部关于进一步加强政府采购需求和履约验收管理的指导意见》（财库〔2016〕205号）、《政府采购需求管理办法》（财库〔2021〕22号）的要求进行验收。 2、本项目在供应商通知服务履约完毕后进行验收。 3、验收依据包括但不限于合同文本、竞争性磋商文件、响应文件。 4、验收合格后，填写验收单，并向采购人提交所有资料，以便使用单位日后管理和维护。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当保证货物及其各部件是通过正常渠道获得的、全新未使用过的、经出厂检验合格的、获得国家销售许可的合格产品；其有关知识产权、技术、专利、检验、商标等均要符合中华人民共和国的有关法律、法规；并完全符合强制性的国家技术质量规范和合同规定的质量、规格、性能和技术规范等的要求。若供应商所供货物及供应商响应文件列明的货物及原配件品牌、生产地、制造厂商、质量保证达不到相关国家标准和规范以及质量监督检查部门规定的验收标准要求的，采购人有权无条件解除本合同，并保存将供应商上报监管部门列入不良行为名单。2、质保期为:12个月（国家标准有要求或产品厂商有更高质保承诺或竞争性磋商文件技术参数中有单独要求的，按更长质保期进行质保。）若供应商承诺质保期限超过竞争性磋商文件要求，按其承诺执行。3、供应商承诺的质保期起始时间为终验合格之日。4、质量保证期内，如货物有任何损伤，供应商应负责更换，并承担所发生的一切费用。5、供应商应当保证所提供的货物及其各部件经正确安装、正常使用，在其使用寿命期内应具有符合质量要求和产品说明书的性能。在货物质量保证期之内，供应商应对由于设计、工艺或材料的缺陷而发生的任何不足或故障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 2、未按合同要求提供货物或货物质量不能满足要求，采购人会同相关单位有权终止合同，并对违约方的违约行为进行追究，同时按有关法规进行相应的处罚。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结果公告发布后，成交供应商须线下提交纸质响应文件正本壹份、副本壹份。2、样品要求：①样品清单：户外手拉车1套；②样品封装要求：请将所有样品装在一个包装袋（箱）内，外包装不得显示供应商或厂家信息，密封提交，工作人员将对样品进行编号，不接受未密封提交的样品。③磋商现场，评审小组为履行评审职责需对样品进行检验，若检验过程涉及破坏性操作，由此产生的样品损坏，评审方不承担任何责任。④评审小组根据样品品质赋分，具体内容详见《评审办法及标准》。⑤样品保管和封存：样品在磋商前由工作人员接收，成交结果公布后，退还给未成交供应商，成交供应商的样品由采购人留存，作为项目履约验收的依据。⑥样品递交地址:西安市南二环西段21号华融国际商务大厦A座15层B区1室。⑦样品递交时间:响应文件提交截止时间前。3、弃标须知：根据市财函【2021】431号文第16条规定：供应商登记免费领取采购文件的，如不参与项目投标，应在递交投标（或响应）文件截止时间前一日以书面形式告知采购代理机构（发送至邮箱1722913033@qq.com）。否则，采购代理机构可以向财政部门反应情况并提供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商务要求不得出现负偏离。</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所投产品完全符合、响应竞争性磋商文件要求，无负偏离的计满分10分，参数中每有一条负偏离扣1分，扣完为止。 注：供应商应尽可能的提供相关技术指标的证明材料，包括但不限于产品证书、检测报告等相关资料，予以证明其技术参数的响应性。</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根据本项目特点，提供项目实施方案。具体包括：①项目团队人员配置及专业能力；②关键时间节点及进度控制措施；③供货方案及保障措施；④制度及管理流程；⑤质量检验及验收方案；⑥突发事件应急预案；⑦不合格产品处理方案；⑧包装运输方案。 注：每具有一项得3分，最多得24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供应商根据本项目特点，提供质量保证方案。具体包括：①质量保证及控制措施；②质量保修承诺。 注：每具有一项得3分，最多得6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本项目特点，提供售后服务方案。具体包括：①售后服务范围及保障措施；②质量追溯及回访；③售后服务响应方案；④售后服务机构（提供有效的办公场所证明材料）；⑤故障处理及补救措施；⑥增值服务方案。 注：每具有一项得3分，最多得18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提供2022年10月至今同类业绩（仅限于供应商自己实施的），每提供1个得1.5分，最多得3分。 注：提供合同复印件。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1、样品材质与工艺品质：①无虚焊；②无毛刺；③缝合紧密无跳线；④无开裂；⑤接口平整。 注：每符合一项得1分，最多得5分。在此基础上，样品存在缺陷的，每1项中每有1处扣0.5分，每项最多扣1分，扣完为止。缺陷是指：虚焊、有毛刺、缝合不紧密有跳线、开裂、接口不平整等。 2、桌板与车把功能：①桌板展开后平整；②放置重物无晃动；③车把折叠/展开顺畅。 注：每符合一项得1分，最多得3分。在此基础上，样品存在缺陷的，每1项中每有1处扣0.5分，每项最多扣1分，扣完为止。缺陷是指：桌板展开后不平整、放置重物晃动、车把折叠/展开不顺畅等。 不提供样品或样品不完整的不得分。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 环保</w:t>
            </w:r>
          </w:p>
        </w:tc>
        <w:tc>
          <w:tcPr>
            <w:tcW w:type="dxa" w:w="2492"/>
          </w:tcPr>
          <w:p>
            <w:pPr>
              <w:pStyle w:val="null3"/>
            </w:pPr>
            <w:r>
              <w:rPr>
                <w:rFonts w:ascii="仿宋_GB2312" w:hAnsi="仿宋_GB2312" w:cs="仿宋_GB2312" w:eastAsia="仿宋_GB2312"/>
              </w:rPr>
              <w:t>所投产品中属于政府采购优先采购范围的，则每有一项为节能产品或者环境标志产品的得0.5分，每有一项既是节能产品又是环境标志产品的得1分，非节能、环境标志产品的不得分。本项最多得1分。 注：①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②所投产品属于优先采购范围内的节能产品或者环境标志产品的，提供国家确定的认证机构出具的、处于有效期之内的节能产品、环境标志产品认证证书复印件加盖公章。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1、经初审合格的磋商文件，其磋商报价为有效磋商报价； 2、满足磋商文件要求且最后提交价格最低的响应报价为评标基准价。 3、响应报价得分=(评审基准价／最后响应报价)×30；4、响应报价不完整的，本项得0分。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