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F7ED0">
      <w:pPr>
        <w:spacing w:line="550" w:lineRule="exact"/>
        <w:jc w:val="center"/>
        <w:rPr>
          <w:rFonts w:hint="eastAsia"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</w:rPr>
        <w:t>合同条款（仅供参考）</w:t>
      </w:r>
    </w:p>
    <w:p w14:paraId="74DCB995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 xml:space="preserve">签订地点： XXXX。                                        </w:t>
      </w:r>
    </w:p>
    <w:p w14:paraId="401567CA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 xml:space="preserve">签订时间： XXXX年XX月XX日。                                        </w:t>
      </w:r>
    </w:p>
    <w:p w14:paraId="3CDDA0E0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采购人（甲方）：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-SA"/>
        </w:rPr>
        <w:t xml:space="preserve">                     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 xml:space="preserve">                                          </w:t>
      </w:r>
    </w:p>
    <w:p w14:paraId="56D08435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供应商（乙方）：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-SA"/>
        </w:rPr>
        <w:t xml:space="preserve">                     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 xml:space="preserve">                                      </w:t>
      </w:r>
    </w:p>
    <w:p w14:paraId="13CDA16D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根据《中华人民共和国政府采购法》、《中华人民共和国民法典》及陕西万德招标有限公司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-SA"/>
        </w:rPr>
        <w:t xml:space="preserve">            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采购项目（项目编号：XX/x包）的《竞争性磋商文件》、乙方的《响应文件》及《成交通知书》，甲、乙双方同意签订本合同。详细技术说明及其他有关合同项目的特定信息由合同附件予以说明，合同附件及本项目的竞争性磋商文件、响应文件、《成交通知书》等均为本合同不可分割的部分。双方同意共同遵守如下条款：</w:t>
      </w:r>
    </w:p>
    <w:p w14:paraId="04C3730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一、</w:t>
      </w:r>
      <w:r>
        <w:rPr>
          <w:rFonts w:hint="eastAsia" w:ascii="仿宋" w:hAnsi="仿宋" w:eastAsia="仿宋" w:cs="仿宋"/>
          <w:b/>
          <w:sz w:val="24"/>
          <w:szCs w:val="24"/>
        </w:rPr>
        <w:t>合同内容</w:t>
      </w:r>
    </w:p>
    <w:tbl>
      <w:tblPr>
        <w:tblStyle w:val="2"/>
        <w:tblW w:w="89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796"/>
        <w:gridCol w:w="1397"/>
        <w:gridCol w:w="997"/>
        <w:gridCol w:w="997"/>
        <w:gridCol w:w="997"/>
        <w:gridCol w:w="990"/>
        <w:gridCol w:w="930"/>
      </w:tblGrid>
      <w:tr w14:paraId="47D14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871" w:type="dxa"/>
            <w:vAlign w:val="center"/>
          </w:tcPr>
          <w:p w14:paraId="16E28C70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编号</w:t>
            </w:r>
          </w:p>
        </w:tc>
        <w:tc>
          <w:tcPr>
            <w:tcW w:w="1796" w:type="dxa"/>
            <w:vAlign w:val="center"/>
          </w:tcPr>
          <w:p w14:paraId="09A98636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设备名称</w:t>
            </w:r>
          </w:p>
        </w:tc>
        <w:tc>
          <w:tcPr>
            <w:tcW w:w="1397" w:type="dxa"/>
            <w:vAlign w:val="center"/>
          </w:tcPr>
          <w:p w14:paraId="59F4D9FC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型号</w:t>
            </w:r>
          </w:p>
        </w:tc>
        <w:tc>
          <w:tcPr>
            <w:tcW w:w="997" w:type="dxa"/>
            <w:vAlign w:val="center"/>
          </w:tcPr>
          <w:p w14:paraId="4B0CBD82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产地</w:t>
            </w:r>
          </w:p>
        </w:tc>
        <w:tc>
          <w:tcPr>
            <w:tcW w:w="997" w:type="dxa"/>
            <w:vAlign w:val="center"/>
          </w:tcPr>
          <w:p w14:paraId="413D25BE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数量</w:t>
            </w:r>
          </w:p>
        </w:tc>
        <w:tc>
          <w:tcPr>
            <w:tcW w:w="997" w:type="dxa"/>
            <w:vAlign w:val="center"/>
          </w:tcPr>
          <w:p w14:paraId="10144FE0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单价</w:t>
            </w:r>
          </w:p>
        </w:tc>
        <w:tc>
          <w:tcPr>
            <w:tcW w:w="990" w:type="dxa"/>
            <w:vAlign w:val="center"/>
          </w:tcPr>
          <w:p w14:paraId="75AF230A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总价</w:t>
            </w:r>
          </w:p>
        </w:tc>
        <w:tc>
          <w:tcPr>
            <w:tcW w:w="930" w:type="dxa"/>
            <w:vAlign w:val="center"/>
          </w:tcPr>
          <w:p w14:paraId="11D472E2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备注</w:t>
            </w:r>
          </w:p>
        </w:tc>
      </w:tr>
      <w:tr w14:paraId="040E4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871" w:type="dxa"/>
            <w:vAlign w:val="center"/>
          </w:tcPr>
          <w:p w14:paraId="6802E116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center"/>
          </w:tcPr>
          <w:p w14:paraId="692A09C4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17C99431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14:paraId="5A385D72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14:paraId="33BEFCF0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14:paraId="27E6951E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50D71138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 w14:paraId="3ADC07C4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7976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871" w:type="dxa"/>
            <w:vAlign w:val="center"/>
          </w:tcPr>
          <w:p w14:paraId="14942166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6" w:type="dxa"/>
            <w:vAlign w:val="center"/>
          </w:tcPr>
          <w:p w14:paraId="39140EB3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087E1189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14:paraId="78ACE471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14:paraId="771B847E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14:paraId="37A730D4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44E2F66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 w14:paraId="3BC715F7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0ED0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2667" w:type="dxa"/>
            <w:gridSpan w:val="2"/>
            <w:vAlign w:val="center"/>
          </w:tcPr>
          <w:p w14:paraId="36889487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总计（人民币/元）</w:t>
            </w:r>
          </w:p>
        </w:tc>
        <w:tc>
          <w:tcPr>
            <w:tcW w:w="6308" w:type="dxa"/>
            <w:gridSpan w:val="6"/>
            <w:vAlign w:val="center"/>
          </w:tcPr>
          <w:p w14:paraId="6E326672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60" w:lineRule="auto"/>
              <w:jc w:val="both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￥：       （大写）</w:t>
            </w:r>
          </w:p>
        </w:tc>
      </w:tr>
    </w:tbl>
    <w:p w14:paraId="1506A296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600" w:firstLineChars="25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乙方负责按以上确定的设备规格、型号及配套内容进行供货，及时运到甲方指定交货地点安装，确保所有设备达到最佳运行状态。</w:t>
      </w:r>
    </w:p>
    <w:p w14:paraId="0C125867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jc w:val="both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二、合同价格</w:t>
      </w:r>
    </w:p>
    <w:p w14:paraId="0E14573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合同总价：人民币大写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：</w:t>
      </w:r>
      <w:r>
        <w:rPr>
          <w:rFonts w:hint="eastAsia" w:ascii="仿宋" w:hAnsi="仿宋" w:eastAsia="仿宋" w:cs="仿宋"/>
          <w:b/>
          <w:sz w:val="24"/>
          <w:szCs w:val="24"/>
          <w:u w:val="single"/>
        </w:rPr>
        <w:t xml:space="preserve">          </w:t>
      </w:r>
      <w:r>
        <w:rPr>
          <w:rFonts w:hint="eastAsia" w:ascii="仿宋" w:hAnsi="仿宋" w:eastAsia="仿宋" w:cs="仿宋"/>
          <w:b/>
          <w:sz w:val="24"/>
          <w:szCs w:val="24"/>
        </w:rPr>
        <w:t>元整；</w:t>
      </w:r>
      <w:r>
        <w:rPr>
          <w:rFonts w:hint="eastAsia" w:ascii="仿宋" w:hAnsi="仿宋" w:eastAsia="仿宋" w:cs="仿宋"/>
          <w:sz w:val="24"/>
          <w:szCs w:val="24"/>
        </w:rPr>
        <w:t xml:space="preserve">￥ </w:t>
      </w:r>
      <w:r>
        <w:rPr>
          <w:rFonts w:hint="eastAsia" w:ascii="仿宋" w:hAnsi="仿宋" w:eastAsia="仿宋" w:cs="仿宋"/>
          <w:b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</w:rPr>
        <w:t>元。</w:t>
      </w:r>
    </w:p>
    <w:p w14:paraId="053B3F9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合同总价包括：设备的供应费及所发生的运输费、杂费（含保险）、商检费、搬运费、安装费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</w:rPr>
        <w:t>税费等，包括从产品供应地点到交货地点所包含的运一切费用。合同总价不可变更，不受市场价变化的影响，不受实际数量变化的影响。</w:t>
      </w:r>
    </w:p>
    <w:p w14:paraId="48C7119E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jc w:val="both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三、款项支付</w:t>
      </w:r>
    </w:p>
    <w:p w14:paraId="26BA8EA4">
      <w:pPr>
        <w:keepNext w:val="0"/>
        <w:keepLines w:val="0"/>
        <w:pageBreakBefore w:val="0"/>
        <w:widowControl w:val="0"/>
        <w:tabs>
          <w:tab w:val="left" w:pos="480"/>
        </w:tabs>
        <w:wordWrap/>
        <w:overflowPunct/>
        <w:topLinePunct w:val="0"/>
        <w:autoSpaceDE/>
        <w:bidi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1、支付时间：</w:t>
      </w:r>
    </w:p>
    <w:p w14:paraId="49717A5C">
      <w:pPr>
        <w:keepNext w:val="0"/>
        <w:keepLines w:val="0"/>
        <w:pageBreakBefore w:val="0"/>
        <w:widowControl w:val="0"/>
        <w:tabs>
          <w:tab w:val="left" w:pos="480"/>
        </w:tabs>
        <w:wordWrap/>
        <w:overflowPunct/>
        <w:topLinePunct w:val="0"/>
        <w:autoSpaceDE/>
        <w:bidi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2、支付方式：银行转帐。</w:t>
      </w:r>
    </w:p>
    <w:p w14:paraId="03CD5393">
      <w:pPr>
        <w:keepNext w:val="0"/>
        <w:keepLines w:val="0"/>
        <w:pageBreakBefore w:val="0"/>
        <w:widowControl w:val="0"/>
        <w:tabs>
          <w:tab w:val="left" w:pos="480"/>
        </w:tabs>
        <w:wordWrap/>
        <w:overflowPunct/>
        <w:topLinePunct w:val="0"/>
        <w:autoSpaceDE/>
        <w:bidi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3、结算方式：</w:t>
      </w:r>
    </w:p>
    <w:p w14:paraId="35A2427B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jc w:val="both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四、交货条件</w:t>
      </w:r>
    </w:p>
    <w:p w14:paraId="2B974F37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600" w:firstLineChars="25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1、交货地点：</w:t>
      </w:r>
    </w:p>
    <w:p w14:paraId="7284200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600" w:firstLineChars="25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2、交货日期：</w:t>
      </w:r>
    </w:p>
    <w:p w14:paraId="6DFD5177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jc w:val="both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五、运输方式：</w:t>
      </w:r>
      <w:r>
        <w:rPr>
          <w:rFonts w:hint="eastAsia" w:ascii="仿宋" w:hAnsi="仿宋" w:eastAsia="仿宋" w:cs="仿宋"/>
          <w:sz w:val="24"/>
          <w:szCs w:val="24"/>
        </w:rPr>
        <w:t>根据产品特性，由乙方在保证产品质量的前提下，自行选择运输及包装方式，发生的一切费用全部由乙方承担。</w:t>
      </w:r>
    </w:p>
    <w:p w14:paraId="1DE17BBF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六、质量保证</w:t>
      </w:r>
    </w:p>
    <w:p w14:paraId="3B7B3057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1、乙方保证所提供的设备质量可靠，进货渠道正常，配置合理，技术性能完全满足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竞争性磋商文件</w:t>
      </w:r>
      <w:r>
        <w:rPr>
          <w:rFonts w:hint="eastAsia" w:ascii="仿宋" w:hAnsi="仿宋" w:eastAsia="仿宋" w:cs="仿宋"/>
          <w:sz w:val="24"/>
          <w:szCs w:val="24"/>
        </w:rPr>
        <w:t>要求；</w:t>
      </w:r>
    </w:p>
    <w:p w14:paraId="446AE2E8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若设备所用原材料或加工工艺造成的质量和内外观缺陷问题，由乙方负责解决并承担费用。（卖方保证货物是全新的、未曾使用过的、以优质工艺及材料制造，并保证所供设备的完整性，本合同设备为成套供货，合同总价中已包括满足设备完整运行的附件，备件，配套件等，产品质量应符合国标标准和本合同附件的要求,卖方应随机提供产品检验报告。）</w:t>
      </w:r>
    </w:p>
    <w:p w14:paraId="5F1A0225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600" w:firstLineChars="25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3、设备的质保期为设备验收合格后XX年，质保期内若发生产品质量问题，卖方应立即免费解决；否则，甲方有权从质保金中支付相关费用；超过质保期的，按照厂家承诺进行。</w:t>
      </w:r>
    </w:p>
    <w:p w14:paraId="5F6C6958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七、安装及技术服务</w:t>
      </w:r>
    </w:p>
    <w:p w14:paraId="7D3F0E24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96" w:firstLineChars="207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1、技术资料包括：</w:t>
      </w:r>
    </w:p>
    <w:p w14:paraId="6FDD765C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在质保期内（保修起始日为货到验收合格之日起），乙方在接到用户对所购设备进行维修的要求后，XX小时内到用户现场进行维修服务，全部费用由乙方支付，若需将产品送回生产厂，由乙方支付维修设备所需的往返费用。</w:t>
      </w:r>
    </w:p>
    <w:p w14:paraId="6F8B2215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3、乙方保证设备完全按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采购</w:t>
      </w:r>
      <w:r>
        <w:rPr>
          <w:rFonts w:hint="eastAsia" w:ascii="仿宋" w:hAnsi="仿宋" w:eastAsia="仿宋" w:cs="仿宋"/>
          <w:sz w:val="24"/>
          <w:szCs w:val="24"/>
        </w:rPr>
        <w:t>要求提供，若达不到要求，乙方须及时跟甲方沟通协商更换设备，并按照再次验收合格时间相应延长该产品保修期。</w:t>
      </w:r>
    </w:p>
    <w:p w14:paraId="519BE32B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、服务承诺：按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sz w:val="24"/>
          <w:szCs w:val="24"/>
        </w:rPr>
        <w:t>中的服务承诺执行。</w:t>
      </w:r>
    </w:p>
    <w:p w14:paraId="4D202882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</w:rPr>
        <w:t>、安装过程中出现的安全责任问题由乙方全权负责。</w:t>
      </w:r>
    </w:p>
    <w:p w14:paraId="2DF4130A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bidi w:val="0"/>
        <w:spacing w:line="360" w:lineRule="auto"/>
        <w:jc w:val="both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八、违约责任：</w:t>
      </w:r>
    </w:p>
    <w:p w14:paraId="37A4B6BF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1、按《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中华人民共和国民法典</w:t>
      </w:r>
      <w:r>
        <w:rPr>
          <w:rFonts w:hint="eastAsia" w:ascii="仿宋" w:hAnsi="仿宋" w:eastAsia="仿宋" w:cs="仿宋"/>
          <w:sz w:val="24"/>
          <w:szCs w:val="24"/>
        </w:rPr>
        <w:t>》中的相关条款执行。</w:t>
      </w:r>
    </w:p>
    <w:p w14:paraId="0AD5DE04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2、未按合同要求提供产品或设备质量不能满足技术要求，甲方有权终止合同，并保留追究乙方违约责任的权利。</w:t>
      </w:r>
    </w:p>
    <w:p w14:paraId="2CC88B27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3、时间迟延的，违约方按照每天1%向对方承担违约责任。产品质量问题违约的，除了按照迟延时间计算违约金外，另可以采取退货、换货等方式，由供方承担一切费用。</w:t>
      </w:r>
    </w:p>
    <w:p w14:paraId="18A3223D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jc w:val="both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九、设备验收</w:t>
      </w:r>
    </w:p>
    <w:p w14:paraId="10ABA2E5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1、设备到货后，乙方负责安装，达到正常运行条件后书面通知甲方验收。</w:t>
      </w:r>
    </w:p>
    <w:p w14:paraId="023AD744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2、安装完成后应提供详细的安装报告，并详细记录各种指示的实测数据。</w:t>
      </w:r>
    </w:p>
    <w:p w14:paraId="52526737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3、提供完整的操作手册和安装、维修手册；提供制造厂家的检验测试报告或设备出厂检测报告。</w:t>
      </w:r>
    </w:p>
    <w:p w14:paraId="6BC999B0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4、甲方根据合同要求对设备进行验收、确认设备的产地、规格、型号和数量。验收依据为</w:t>
      </w:r>
      <w:bookmarkStart w:id="0" w:name="_Toc337393760"/>
      <w:r>
        <w:rPr>
          <w:rFonts w:hint="eastAsia" w:ascii="仿宋" w:hAnsi="仿宋" w:eastAsia="仿宋" w:cs="仿宋"/>
          <w:sz w:val="24"/>
          <w:szCs w:val="24"/>
        </w:rPr>
        <w:t>本合同文本、招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sz w:val="24"/>
          <w:szCs w:val="24"/>
        </w:rPr>
        <w:t>和国内相应的标准、规范</w:t>
      </w:r>
      <w:bookmarkEnd w:id="0"/>
      <w:bookmarkStart w:id="1" w:name="_Toc337393761"/>
      <w:r>
        <w:rPr>
          <w:rFonts w:hint="eastAsia" w:ascii="仿宋" w:hAnsi="仿宋" w:eastAsia="仿宋" w:cs="仿宋"/>
          <w:sz w:val="24"/>
          <w:szCs w:val="24"/>
        </w:rPr>
        <w:t>。</w:t>
      </w:r>
      <w:bookmarkEnd w:id="1"/>
    </w:p>
    <w:p w14:paraId="7A7E9436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5、验收合格后，填写设备验收单，并向甲方提交设备所包含的所有资料，以便使用单位日后管理和维护。</w:t>
      </w:r>
    </w:p>
    <w:p w14:paraId="454CF294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bidi w:val="0"/>
        <w:spacing w:line="360" w:lineRule="auto"/>
        <w:jc w:val="both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十、合同争议的解决：</w:t>
      </w:r>
    </w:p>
    <w:p w14:paraId="26CFA6B5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bidi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合同一经签订，不得随意变更、中止或终止。对确需变更、调整或者中止、终止合同的，应按规定履行相应的手续。</w:t>
      </w:r>
    </w:p>
    <w:p w14:paraId="65218312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bidi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合同执行中发生争议的，甲、乙双方应协商解决，协商达不成一致时，可向合同履行地人民法院提请诉讼。</w:t>
      </w:r>
    </w:p>
    <w:p w14:paraId="00BE357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355"/>
        </w:tabs>
        <w:wordWrap/>
        <w:overflowPunct/>
        <w:topLinePunct w:val="0"/>
        <w:autoSpaceDE/>
        <w:bidi w:val="0"/>
        <w:spacing w:line="360" w:lineRule="auto"/>
        <w:jc w:val="both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十一、</w:t>
      </w:r>
      <w:r>
        <w:rPr>
          <w:rFonts w:hint="eastAsia" w:ascii="仿宋" w:hAnsi="仿宋" w:eastAsia="仿宋" w:cs="仿宋"/>
          <w:b/>
          <w:sz w:val="24"/>
          <w:szCs w:val="24"/>
        </w:rPr>
        <w:t>其它事项</w:t>
      </w:r>
    </w:p>
    <w:p w14:paraId="5BF51F45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sz w:val="24"/>
          <w:szCs w:val="24"/>
        </w:rPr>
        <w:t>甲、乙双方做为合同执行的主体，有义务及时完全履行合同。</w:t>
      </w:r>
    </w:p>
    <w:p w14:paraId="2325005A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2、合同未尽事宜，由甲、乙双方协商，协商方案作为本合同不可分割的组成部分，与本合同具有同等法律效力。</w:t>
      </w:r>
    </w:p>
    <w:p w14:paraId="3F53BD74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竞争性磋商文件</w:t>
      </w:r>
      <w:r>
        <w:rPr>
          <w:rFonts w:hint="eastAsia" w:ascii="仿宋" w:hAnsi="仿宋" w:eastAsia="仿宋" w:cs="仿宋"/>
          <w:sz w:val="24"/>
          <w:szCs w:val="24"/>
        </w:rPr>
        <w:t>和乙方的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sz w:val="24"/>
          <w:szCs w:val="24"/>
        </w:rPr>
        <w:t>以及合同附件均为合同不可分割的部分。</w:t>
      </w:r>
    </w:p>
    <w:p w14:paraId="212205E9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4、合同一式**份，甲方**份、乙方**份（返回招标代理机构壹份）。甲方、乙方及确认方签字盖章后生效，合同执行完毕自动失效。（合同的服务承诺长期有效）。</w:t>
      </w:r>
    </w:p>
    <w:p w14:paraId="43408156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甲  方：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</w:rPr>
        <w:t>（公章）              乙  方：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</w:rPr>
        <w:t>（公章）</w:t>
      </w:r>
    </w:p>
    <w:p w14:paraId="02CB6FB2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地  址：                                 地    址： </w:t>
      </w:r>
    </w:p>
    <w:p w14:paraId="34B4E02A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法定代表人：（签字）                      法定代表人：（签字）</w:t>
      </w:r>
    </w:p>
    <w:p w14:paraId="41B73830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600" w:firstLineChars="25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768DD72B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代理人：（签字）                          代理人：（签字）</w:t>
      </w:r>
    </w:p>
    <w:p w14:paraId="569CA99F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联系电话：                               开户银行：</w:t>
      </w:r>
    </w:p>
    <w:p w14:paraId="52675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920" w:firstLineChars="205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帐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号： </w:t>
      </w:r>
    </w:p>
    <w:p w14:paraId="55FF28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920" w:firstLineChars="205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bookmarkStart w:id="2" w:name="_GoBack"/>
      <w:bookmarkEnd w:id="2"/>
      <w:r>
        <w:rPr>
          <w:rFonts w:hint="eastAsia" w:ascii="仿宋" w:hAnsi="仿宋" w:eastAsia="仿宋" w:cs="仿宋"/>
          <w:sz w:val="24"/>
          <w:szCs w:val="24"/>
        </w:rPr>
        <w:t>联系电话：</w:t>
      </w:r>
    </w:p>
    <w:p w14:paraId="5372436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仿宋" w:hAnsi="仿宋" w:eastAsia="仿宋" w:cs="仿宋"/>
          <w:lang w:val="en-US" w:eastAsia="zh-Hans"/>
        </w:rPr>
      </w:pPr>
      <w:r>
        <w:rPr>
          <w:rFonts w:hint="eastAsia" w:ascii="仿宋" w:hAnsi="仿宋" w:eastAsia="仿宋" w:cs="仿宋"/>
          <w:sz w:val="24"/>
          <w:szCs w:val="24"/>
        </w:rPr>
        <w:t>签订日期：   年  月  日                  签订日期：   年  月  日</w:t>
      </w: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9778AF"/>
    <w:rsid w:val="0B5E7D7B"/>
    <w:rsid w:val="0D935C99"/>
    <w:rsid w:val="170B670F"/>
    <w:rsid w:val="23E95E4C"/>
    <w:rsid w:val="24A7163A"/>
    <w:rsid w:val="29807A50"/>
    <w:rsid w:val="2F3300A1"/>
    <w:rsid w:val="3DD549C2"/>
    <w:rsid w:val="3F7A207E"/>
    <w:rsid w:val="68FC42C6"/>
    <w:rsid w:val="6D5B0156"/>
    <w:rsid w:val="789778AF"/>
    <w:rsid w:val="7DB9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left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1673</Words>
  <Characters>1723</Characters>
  <Lines>0</Lines>
  <Paragraphs>0</Paragraphs>
  <TotalTime>0</TotalTime>
  <ScaleCrop>false</ScaleCrop>
  <LinksUpToDate>false</LinksUpToDate>
  <CharactersWithSpaces>1903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2025-03-14T08:10:00Z</dcterms:created>
  <dc:creator>Ywxxxxxx</dc:creator>
  <cp:lastModifiedBy>QL</cp:lastModifiedBy>
  <dcterms:modified xsi:type="dcterms:W3CDTF">2025-11-05T05:58:01Z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B8A5F64D8A2545E091454B9CE6971D20_11</vt:lpwstr>
  </property>
  <property fmtid="{D5CDD505-2E9C-101B-9397-08002B2CF9AE}" pid="4" name="KSOTemplateDocerSaveRecord">
    <vt:lpwstr>eyJoZGlkIjoiNWRlOTViMzNkMzJhMzAzMDM5M2Q5ZWI5NzhjZGE0Y2IiLCJ1c2VySWQiOiIzNTM3NDI5MzQifQ==</vt:lpwstr>
  </property>
</Properties>
</file>