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版本号：SXGS2025-ZC-026-220251202001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2025外国专家文化交流活动专项(二次)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SXGS2025-ZC-026-2</w:t>
      </w:r>
      <w:r>
        <w:br/>
      </w:r>
      <w:r>
        <w:br/>
      </w:r>
      <w:r>
        <w:br/>
      </w:r>
    </w:p>
    <w:p>
      <w:pPr>
        <w:pStyle w:val="null3"/>
        <w:jc w:val="center"/>
        <w:outlineLvl w:val="2"/>
      </w:pPr>
      <w:r>
        <w:rPr>
          <w:rFonts w:ascii="仿宋_GB2312" w:hAnsi="仿宋_GB2312" w:cs="仿宋_GB2312" w:eastAsia="仿宋_GB2312"/>
          <w:sz w:val="28"/>
          <w:b/>
        </w:rPr>
        <w:t>西安市科学技术局（本级）</w:t>
      </w:r>
    </w:p>
    <w:p>
      <w:pPr>
        <w:pStyle w:val="null3"/>
        <w:jc w:val="center"/>
        <w:outlineLvl w:val="2"/>
      </w:pPr>
      <w:r>
        <w:rPr>
          <w:rFonts w:ascii="仿宋_GB2312" w:hAnsi="仿宋_GB2312" w:cs="仿宋_GB2312" w:eastAsia="仿宋_GB2312"/>
          <w:sz w:val="28"/>
          <w:b/>
        </w:rPr>
        <w:t>陕西亘上项目管理咨询有限公司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陕西亘上项目管理咨询有限公司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西安市科学技术局（本级）</w:t>
      </w:r>
      <w:r>
        <w:rPr>
          <w:rFonts w:ascii="仿宋_GB2312" w:hAnsi="仿宋_GB2312" w:cs="仿宋_GB2312" w:eastAsia="仿宋_GB2312"/>
        </w:rPr>
        <w:t>委托，拟对</w:t>
      </w:r>
      <w:r>
        <w:rPr>
          <w:rFonts w:ascii="仿宋_GB2312" w:hAnsi="仿宋_GB2312" w:cs="仿宋_GB2312" w:eastAsia="仿宋_GB2312"/>
        </w:rPr>
        <w:t>2025外国专家文化交流活动专项(二次)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SXGS2025-ZC-026-2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2025外国专家文化交流活动专项(二次)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科学技术局计划在2025年至2026年举办外国专家文化交流活动，打造“外国专家西安行”活动品牌。邀请在西安的部分外国专家感受中国文化魅力，聆听中国故事、西安故事，让外国专家亲眼见证中国式现代化建设过程中取得的成果，进一步丰富在西安外国专家精神文化生活，帮助外国专家了解西安、融入西安，增强外国专家对西安的认同感和归属感。本次采购内容为活动组织服务，供应商在甲方的指导下，全程提供外国专家专场活动的策划、实施过程中的各项服务，活动场次不少于10场。</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采购包1（2025外国专家文化交流活动专项）：属于专门面向中小企业采购。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1、营业执照：提供合格有效的法人或者其他组织的营业执照等证明文件或自然人的身份证明；</w:t>
      </w:r>
    </w:p>
    <w:p>
      <w:pPr>
        <w:pStyle w:val="null3"/>
      </w:pPr>
      <w:r>
        <w:rPr>
          <w:rFonts w:ascii="仿宋_GB2312" w:hAnsi="仿宋_GB2312" w:cs="仿宋_GB2312" w:eastAsia="仿宋_GB2312"/>
        </w:rPr>
        <w:t>2、财务状况报告：提供2022年或2023年或2024年的财务审计报告（至少包括资产负债表和利润表，成立时间至提交响应文件截止时间不足一年的可提供成立后任意时段的资产负债表），或其开标前半年内基本存款账户开户银行出具的资信证明（出具基本存款账户信息）；</w:t>
      </w:r>
    </w:p>
    <w:p>
      <w:pPr>
        <w:pStyle w:val="null3"/>
      </w:pPr>
      <w:r>
        <w:rPr>
          <w:rFonts w:ascii="仿宋_GB2312" w:hAnsi="仿宋_GB2312" w:cs="仿宋_GB2312" w:eastAsia="仿宋_GB2312"/>
        </w:rPr>
        <w:t>3、税收缴纳证明：提供2024年11月1日至今已缴存的任意一个月的纳税证明或完税证明，依法免税的单位应提供相关证明材料；</w:t>
      </w:r>
    </w:p>
    <w:p>
      <w:pPr>
        <w:pStyle w:val="null3"/>
      </w:pPr>
      <w:r>
        <w:rPr>
          <w:rFonts w:ascii="仿宋_GB2312" w:hAnsi="仿宋_GB2312" w:cs="仿宋_GB2312" w:eastAsia="仿宋_GB2312"/>
        </w:rPr>
        <w:t>4、社会保障资金缴纳证明：提供2024年11月1日至今已缴存的任意一个月的社会保障资金或社保机构开具的社会保险参保缴费情况证明，依法不需要缴纳社会保障资金的单位应提供相关证明材料；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5、无重大违法声明：参加政府采购活动前3年内，在经营活动中没有重大违法记录的书面声明；</w:t>
      </w:r>
    </w:p>
    <w:p>
      <w:pPr>
        <w:pStyle w:val="null3"/>
      </w:pPr>
      <w:r>
        <w:rPr>
          <w:rFonts w:ascii="仿宋_GB2312" w:hAnsi="仿宋_GB2312" w:cs="仿宋_GB2312" w:eastAsia="仿宋_GB2312"/>
        </w:rPr>
        <w:t>6、履约能力承诺：具备履行合同所必需的设备和专业技术能力的证明材料(由供应商根据项目需求提供说明材料或者承诺)；</w:t>
      </w:r>
    </w:p>
    <w:p>
      <w:pPr>
        <w:pStyle w:val="null3"/>
      </w:pPr>
      <w:r>
        <w:rPr>
          <w:rFonts w:ascii="仿宋_GB2312" w:hAnsi="仿宋_GB2312" w:cs="仿宋_GB2312" w:eastAsia="仿宋_GB2312"/>
        </w:rPr>
        <w:t>7、身份证明：法定代表人直接参加磋商，须提供法定代表人身份证明，并与营业执照上信息一致。非法定代表人参加磋商时，须提供法定代表人授权委托书（附法定代表人、被授权人身份证复印件）被授权人身份证及被授权人在磋商响应递交截止之日前在投标单位近3个月内任意一个月的社保证明；</w:t>
      </w:r>
    </w:p>
    <w:p>
      <w:pPr>
        <w:pStyle w:val="null3"/>
      </w:pPr>
      <w:r>
        <w:rPr>
          <w:rFonts w:ascii="仿宋_GB2312" w:hAnsi="仿宋_GB2312" w:cs="仿宋_GB2312" w:eastAsia="仿宋_GB2312"/>
        </w:rPr>
        <w:t>8、信用查询：供应商在递交响应文件截止时间前被“信用中国 ” 网站（www.creditchina.gov.cn）和中国政府采购网（www.ccgp.gov.cn）上被列入失信被执行人、重大税收违法案件当事人名单、政府采购严重违法失信行为记录名单的，不得参加磋商；</w:t>
      </w:r>
    </w:p>
    <w:p>
      <w:pPr>
        <w:pStyle w:val="null3"/>
      </w:pPr>
      <w:r>
        <w:rPr>
          <w:rFonts w:ascii="仿宋_GB2312" w:hAnsi="仿宋_GB2312" w:cs="仿宋_GB2312" w:eastAsia="仿宋_GB2312"/>
        </w:rPr>
        <w:t>9、不接受联合体投标：本项目不接受联合体投标，单位负责人为同一人或者存在直接控股、管理关系的不同供应商，不得参加同一合同项下的政府采购活动；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西安市科学技术局（本级）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西安市凤城八路市政府2号楼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西安市科学技术局（本级）经办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029-67096935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陕西亘上项目管理咨询有限公司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陕西省西安市未央区未央路荣豪大厦12层1222室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029-87363598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依据国家计委颁发的《招标代理服务收费管理暂行办法》（计价格[2002]1980号）国家发展和改革委员会办公厅颁发的《关于招标代理服务收费有关问题的通知》（发改办价格[2003]857号）的有关规定执行。 中标单位在领取成交通知书前，须向采购代理机构一次性支付招标代理服务费。 开户名称：陕西亘上项目管理咨询有限公司； 开户银行：中国建设银行股份有限公司西安广安路支行 银行账号：61050173960009555555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西安市科学技术局（本级）</w:t>
      </w:r>
      <w:r>
        <w:rPr>
          <w:rFonts w:ascii="仿宋_GB2312" w:hAnsi="仿宋_GB2312" w:cs="仿宋_GB2312" w:eastAsia="仿宋_GB2312"/>
        </w:rPr>
        <w:t>和</w:t>
      </w:r>
      <w:r>
        <w:rPr>
          <w:rFonts w:ascii="仿宋_GB2312" w:hAnsi="仿宋_GB2312" w:cs="仿宋_GB2312" w:eastAsia="仿宋_GB2312"/>
        </w:rPr>
        <w:t>陕西亘上项目管理咨询有限公司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西安市科学技术局（本级）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陕西亘上项目管理咨询有限公司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西安市科学技术局（本级）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陕西亘上项目管理咨询有限公司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按照国家相关规范的验收标准执行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陕西亘上项目管理咨询有限公司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陕西亘上项目管理咨询有限公司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陕西亘上项目管理咨询有限公司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联系人：李工</w:t>
      </w:r>
    </w:p>
    <w:p>
      <w:pPr>
        <w:pStyle w:val="null3"/>
      </w:pPr>
      <w:r>
        <w:rPr>
          <w:rFonts w:ascii="仿宋_GB2312" w:hAnsi="仿宋_GB2312" w:cs="仿宋_GB2312" w:eastAsia="仿宋_GB2312"/>
        </w:rPr>
        <w:t>联系电话：029-87363598</w:t>
      </w:r>
    </w:p>
    <w:p>
      <w:pPr>
        <w:pStyle w:val="null3"/>
      </w:pPr>
      <w:r>
        <w:rPr>
          <w:rFonts w:ascii="仿宋_GB2312" w:hAnsi="仿宋_GB2312" w:cs="仿宋_GB2312" w:eastAsia="仿宋_GB2312"/>
        </w:rPr>
        <w:t>地址：陕西省西安市未央区未央路荣豪大厦12层1222室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科学技术局计划在2025年至2026年举办外国专家文化交流活动，打造“外国专家西安行”活动品牌。邀请在西安的部分外国专家感受中国文化魅力，聆听中国故事、西安故事，让外国专家亲眼见证中国式现代化建设过程中取得的成果，进一步丰富在西安外国专家精神文化生活，帮助外国专家了解西安、融入西安，增强外国专家对西安的认同感和归属感。本次采购内容为活动组织服务，供应商在甲方的指导下，全程提供外国专家专场活动的策划、实施过程中的各项服务，活动场次不少于10场。</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2025外国专家文化交流活动专项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标的名称：2025外国专家文化交流活动专项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20"/>
              <w:ind w:firstLine="562"/>
              <w:jc w:val="both"/>
            </w:pPr>
            <w:r>
              <w:rPr>
                <w:rFonts w:ascii="仿宋_GB2312" w:hAnsi="仿宋_GB2312" w:cs="仿宋_GB2312" w:eastAsia="仿宋_GB2312"/>
                <w:sz w:val="28"/>
                <w:b/>
              </w:rPr>
              <w:t>一、</w:t>
            </w:r>
            <w:r>
              <w:rPr>
                <w:rFonts w:ascii="仿宋_GB2312" w:hAnsi="仿宋_GB2312" w:cs="仿宋_GB2312" w:eastAsia="仿宋_GB2312"/>
                <w:sz w:val="28"/>
                <w:b/>
              </w:rPr>
              <w:t>项目概况：</w:t>
            </w:r>
          </w:p>
          <w:p>
            <w:pPr>
              <w:pStyle w:val="null3"/>
              <w:spacing w:after="120"/>
              <w:ind w:firstLine="560"/>
              <w:jc w:val="both"/>
            </w:pPr>
            <w:r>
              <w:rPr>
                <w:rFonts w:ascii="仿宋_GB2312" w:hAnsi="仿宋_GB2312" w:cs="仿宋_GB2312" w:eastAsia="仿宋_GB2312"/>
                <w:sz w:val="28"/>
              </w:rPr>
              <w:t>西安市科学技术局计划在</w:t>
            </w:r>
            <w:r>
              <w:rPr>
                <w:rFonts w:ascii="仿宋_GB2312" w:hAnsi="仿宋_GB2312" w:cs="仿宋_GB2312" w:eastAsia="仿宋_GB2312"/>
                <w:sz w:val="28"/>
              </w:rPr>
              <w:t>202</w:t>
            </w:r>
            <w:r>
              <w:rPr>
                <w:rFonts w:ascii="仿宋_GB2312" w:hAnsi="仿宋_GB2312" w:cs="仿宋_GB2312" w:eastAsia="仿宋_GB2312"/>
                <w:sz w:val="28"/>
              </w:rPr>
              <w:t>5年至</w:t>
            </w:r>
            <w:r>
              <w:rPr>
                <w:rFonts w:ascii="仿宋_GB2312" w:hAnsi="仿宋_GB2312" w:cs="仿宋_GB2312" w:eastAsia="仿宋_GB2312"/>
                <w:sz w:val="28"/>
              </w:rPr>
              <w:t>202</w:t>
            </w:r>
            <w:r>
              <w:rPr>
                <w:rFonts w:ascii="仿宋_GB2312" w:hAnsi="仿宋_GB2312" w:cs="仿宋_GB2312" w:eastAsia="仿宋_GB2312"/>
                <w:sz w:val="28"/>
              </w:rPr>
              <w:t>6年举办外国专家文化交流活动，打造</w:t>
            </w:r>
            <w:r>
              <w:rPr>
                <w:rFonts w:ascii="仿宋_GB2312" w:hAnsi="仿宋_GB2312" w:cs="仿宋_GB2312" w:eastAsia="仿宋_GB2312"/>
                <w:sz w:val="28"/>
              </w:rPr>
              <w:t>“</w:t>
            </w:r>
            <w:r>
              <w:rPr>
                <w:rFonts w:ascii="仿宋_GB2312" w:hAnsi="仿宋_GB2312" w:cs="仿宋_GB2312" w:eastAsia="仿宋_GB2312"/>
                <w:sz w:val="28"/>
              </w:rPr>
              <w:t>外国专家西安行</w:t>
            </w:r>
            <w:r>
              <w:rPr>
                <w:rFonts w:ascii="仿宋_GB2312" w:hAnsi="仿宋_GB2312" w:cs="仿宋_GB2312" w:eastAsia="仿宋_GB2312"/>
                <w:sz w:val="28"/>
              </w:rPr>
              <w:t>”</w:t>
            </w:r>
            <w:r>
              <w:rPr>
                <w:rFonts w:ascii="仿宋_GB2312" w:hAnsi="仿宋_GB2312" w:cs="仿宋_GB2312" w:eastAsia="仿宋_GB2312"/>
                <w:sz w:val="28"/>
              </w:rPr>
              <w:t>活动品牌。邀请在西安的部分外国专家感受中国文化魅力，聆听中国故事、西安故事，让外国专家亲眼见证中国式现代化建设过程中取得的成果，进一步丰富在西安外国专家精神文化生活，帮助外国专家了解西安、融入西安，增强外国专家对西安的认同感和归属感。本次采购内容为活动组织服务，供应商在甲方的指导下，全程提供外国专家专场活动的策划、实施过程中的各项服务，活动场次不少于</w:t>
            </w:r>
            <w:r>
              <w:rPr>
                <w:rFonts w:ascii="仿宋_GB2312" w:hAnsi="仿宋_GB2312" w:cs="仿宋_GB2312" w:eastAsia="仿宋_GB2312"/>
                <w:sz w:val="28"/>
              </w:rPr>
              <w:t>10</w:t>
            </w:r>
            <w:r>
              <w:rPr>
                <w:rFonts w:ascii="仿宋_GB2312" w:hAnsi="仿宋_GB2312" w:cs="仿宋_GB2312" w:eastAsia="仿宋_GB2312"/>
                <w:sz w:val="28"/>
              </w:rPr>
              <w:t>场。</w:t>
            </w:r>
          </w:p>
          <w:p>
            <w:pPr>
              <w:pStyle w:val="null3"/>
              <w:spacing w:after="120"/>
              <w:ind w:firstLine="562"/>
              <w:jc w:val="both"/>
            </w:pPr>
            <w:r>
              <w:rPr>
                <w:rFonts w:ascii="仿宋_GB2312" w:hAnsi="仿宋_GB2312" w:cs="仿宋_GB2312" w:eastAsia="仿宋_GB2312"/>
                <w:sz w:val="28"/>
                <w:b/>
              </w:rPr>
              <w:t>二、服务内容</w:t>
            </w:r>
          </w:p>
          <w:p>
            <w:pPr>
              <w:pStyle w:val="null3"/>
              <w:spacing w:after="120"/>
              <w:ind w:firstLine="560"/>
              <w:jc w:val="both"/>
            </w:pPr>
            <w:r>
              <w:rPr>
                <w:rFonts w:ascii="仿宋_GB2312" w:hAnsi="仿宋_GB2312" w:cs="仿宋_GB2312" w:eastAsia="仿宋_GB2312"/>
                <w:sz w:val="28"/>
              </w:rPr>
              <w:t>1.重大活动：不少于3次</w:t>
            </w:r>
          </w:p>
          <w:p>
            <w:pPr>
              <w:pStyle w:val="null3"/>
              <w:spacing w:after="120"/>
              <w:ind w:firstLine="560"/>
              <w:jc w:val="both"/>
            </w:pPr>
            <w:r>
              <w:rPr>
                <w:rFonts w:ascii="仿宋_GB2312" w:hAnsi="仿宋_GB2312" w:cs="仿宋_GB2312" w:eastAsia="仿宋_GB2312"/>
                <w:sz w:val="28"/>
              </w:rPr>
              <w:t>结合端午节、中秋节、春节或新年等传统节日举办外国专家活动，体验包粽子、做月饼、写春联、赏花灯等特色民俗，品尝传统美食，观看文化表演，深度展示中国传统佳节魅力。参与人数不少于</w:t>
            </w:r>
            <w:r>
              <w:rPr>
                <w:rFonts w:ascii="仿宋_GB2312" w:hAnsi="仿宋_GB2312" w:cs="仿宋_GB2312" w:eastAsia="仿宋_GB2312"/>
                <w:sz w:val="28"/>
              </w:rPr>
              <w:t>120人。</w:t>
            </w:r>
          </w:p>
          <w:p>
            <w:pPr>
              <w:pStyle w:val="null3"/>
              <w:spacing w:after="120"/>
              <w:ind w:firstLine="560"/>
              <w:jc w:val="both"/>
            </w:pPr>
            <w:r>
              <w:rPr>
                <w:rFonts w:ascii="仿宋_GB2312" w:hAnsi="仿宋_GB2312" w:cs="仿宋_GB2312" w:eastAsia="仿宋_GB2312"/>
                <w:sz w:val="28"/>
              </w:rPr>
              <w:t>春节前夕组织大型慰问联谊活动，覆盖人数不少于</w:t>
            </w:r>
            <w:r>
              <w:rPr>
                <w:rFonts w:ascii="仿宋_GB2312" w:hAnsi="仿宋_GB2312" w:cs="仿宋_GB2312" w:eastAsia="仿宋_GB2312"/>
                <w:sz w:val="28"/>
              </w:rPr>
              <w:t>100人。</w:t>
            </w:r>
          </w:p>
          <w:p>
            <w:pPr>
              <w:pStyle w:val="null3"/>
              <w:spacing w:after="120"/>
              <w:ind w:firstLine="280"/>
              <w:jc w:val="both"/>
            </w:pPr>
            <w:r>
              <w:rPr>
                <w:rFonts w:ascii="仿宋_GB2312" w:hAnsi="仿宋_GB2312" w:cs="仿宋_GB2312" w:eastAsia="仿宋_GB2312"/>
                <w:sz w:val="28"/>
              </w:rPr>
              <w:t>2.常规活动：不少于7次</w:t>
            </w:r>
          </w:p>
          <w:p>
            <w:pPr>
              <w:pStyle w:val="null3"/>
              <w:spacing w:after="120"/>
              <w:ind w:firstLine="560"/>
              <w:jc w:val="both"/>
            </w:pPr>
            <w:r>
              <w:rPr>
                <w:rFonts w:ascii="仿宋_GB2312" w:hAnsi="仿宋_GB2312" w:cs="仿宋_GB2312" w:eastAsia="仿宋_GB2312"/>
                <w:sz w:val="28"/>
              </w:rPr>
              <w:t>组织外国专家及其家人参观西安文化旅游景点</w:t>
            </w:r>
            <w:r>
              <w:rPr>
                <w:rFonts w:ascii="仿宋_GB2312" w:hAnsi="仿宋_GB2312" w:cs="仿宋_GB2312" w:eastAsia="仿宋_GB2312"/>
                <w:sz w:val="28"/>
              </w:rPr>
              <w:t>,名胜古迹，听景点讲解了解西安历史文化，加深对西安的了解和文化理解。</w:t>
            </w:r>
          </w:p>
          <w:p>
            <w:pPr>
              <w:pStyle w:val="null3"/>
              <w:spacing w:after="120"/>
              <w:ind w:firstLine="560"/>
              <w:jc w:val="both"/>
            </w:pPr>
            <w:r>
              <w:rPr>
                <w:rFonts w:ascii="仿宋_GB2312" w:hAnsi="仿宋_GB2312" w:cs="仿宋_GB2312" w:eastAsia="仿宋_GB2312"/>
                <w:sz w:val="28"/>
              </w:rPr>
              <w:t>组织外国专家及其家人参观科技产业园区或科技公司、重点项目、龙头企业等能展示西安城市魅力和发展潜力的地点，在实地参观中走进西安，了解西安发展及科技的进步；</w:t>
            </w:r>
          </w:p>
          <w:p>
            <w:pPr>
              <w:pStyle w:val="null3"/>
              <w:spacing w:after="120"/>
              <w:ind w:firstLine="560"/>
              <w:jc w:val="both"/>
            </w:pPr>
            <w:r>
              <w:rPr>
                <w:rFonts w:ascii="仿宋_GB2312" w:hAnsi="仿宋_GB2312" w:cs="仿宋_GB2312" w:eastAsia="仿宋_GB2312"/>
                <w:sz w:val="28"/>
              </w:rPr>
              <w:t>组织外国专家及其家人参与非物质文化遗产项目体验或具有特色的相关体验活动，如参与秦腔欣赏、皮影戏制作、剪纸书法等非物质文化遗产项目或特色文化体验活动；加深对地区文化的理解，增进对西安的感情；</w:t>
            </w:r>
          </w:p>
          <w:p>
            <w:pPr>
              <w:pStyle w:val="null3"/>
              <w:spacing w:after="120"/>
              <w:ind w:firstLine="560"/>
              <w:jc w:val="both"/>
            </w:pPr>
            <w:r>
              <w:rPr>
                <w:rFonts w:ascii="仿宋_GB2312" w:hAnsi="仿宋_GB2312" w:cs="仿宋_GB2312" w:eastAsia="仿宋_GB2312"/>
                <w:sz w:val="28"/>
              </w:rPr>
              <w:t>组织外国专家参观现代农业产业园或赴对口扶贫村等感受智慧农业、现代农业等乡村振兴工作的成果；</w:t>
            </w:r>
          </w:p>
          <w:p>
            <w:pPr>
              <w:pStyle w:val="null3"/>
              <w:spacing w:after="120"/>
              <w:ind w:firstLine="560"/>
              <w:jc w:val="both"/>
            </w:pPr>
            <w:r>
              <w:rPr>
                <w:rFonts w:ascii="仿宋_GB2312" w:hAnsi="仿宋_GB2312" w:cs="仿宋_GB2312" w:eastAsia="仿宋_GB2312"/>
                <w:sz w:val="28"/>
              </w:rPr>
              <w:t>组织外国专家召开相关领域座谈会，为城市发展建言献策。通过常规活动组织，让外国专家增进对西安的全面了解，增强外国专家在西安工作、发展的信心和在西安生活的幸福感、获得感。</w:t>
            </w:r>
          </w:p>
          <w:p>
            <w:pPr>
              <w:pStyle w:val="null3"/>
              <w:spacing w:after="120"/>
              <w:ind w:firstLine="560"/>
              <w:jc w:val="both"/>
            </w:pPr>
            <w:r>
              <w:rPr>
                <w:rFonts w:ascii="仿宋_GB2312" w:hAnsi="仿宋_GB2312" w:cs="仿宋_GB2312" w:eastAsia="仿宋_GB2312"/>
                <w:sz w:val="28"/>
              </w:rPr>
              <w:t>组织外国专家及其家人参观医院、教育机构及其他能为外国专家提供公共服务的机构能等，为外国专家在衣食住行上提供便利，增加外国专家认同感。</w:t>
            </w:r>
          </w:p>
          <w:p>
            <w:pPr>
              <w:pStyle w:val="null3"/>
              <w:spacing w:after="120"/>
              <w:ind w:firstLine="560"/>
              <w:jc w:val="both"/>
            </w:pPr>
            <w:r>
              <w:rPr>
                <w:rFonts w:ascii="仿宋_GB2312" w:hAnsi="仿宋_GB2312" w:cs="仿宋_GB2312" w:eastAsia="仿宋_GB2312"/>
                <w:sz w:val="28"/>
              </w:rPr>
              <w:t>常规活动，人数不少于</w:t>
            </w:r>
            <w:r>
              <w:rPr>
                <w:rFonts w:ascii="仿宋_GB2312" w:hAnsi="仿宋_GB2312" w:cs="仿宋_GB2312" w:eastAsia="仿宋_GB2312"/>
                <w:sz w:val="28"/>
              </w:rPr>
              <w:t>120人。</w:t>
            </w:r>
          </w:p>
          <w:p>
            <w:pPr>
              <w:pStyle w:val="null3"/>
              <w:ind w:firstLine="560"/>
              <w:jc w:val="both"/>
            </w:pPr>
            <w:r>
              <w:rPr>
                <w:rFonts w:ascii="仿宋_GB2312" w:hAnsi="仿宋_GB2312" w:cs="仿宋_GB2312" w:eastAsia="仿宋_GB2312"/>
                <w:sz w:val="28"/>
              </w:rPr>
              <w:t>三、</w:t>
            </w:r>
            <w:r>
              <w:rPr>
                <w:rFonts w:ascii="仿宋_GB2312" w:hAnsi="仿宋_GB2312" w:cs="仿宋_GB2312" w:eastAsia="仿宋_GB2312"/>
                <w:sz w:val="28"/>
                <w:b/>
              </w:rPr>
              <w:t>保密要求：</w:t>
            </w:r>
          </w:p>
          <w:p>
            <w:pPr>
              <w:pStyle w:val="null3"/>
              <w:jc w:val="both"/>
            </w:pPr>
            <w:r>
              <w:rPr>
                <w:rFonts w:ascii="仿宋_GB2312" w:hAnsi="仿宋_GB2312" w:cs="仿宋_GB2312" w:eastAsia="仿宋_GB2312"/>
                <w:sz w:val="28"/>
              </w:rPr>
              <w:t xml:space="preserve">       成交供应商在项目实施过程中，对采购人所提供的所有相关资料、数据，未经采购人书面同意不得向任何第三人泄露，且保密责任不因合同的终止或解除而失效。如果采购人提出要求，成交供应商须无条件与采购人签订保密协议。项目完成后，成交供应商须把采购人提供的所有资料、数据完整归还采购人，并不得留存任何复制品。</w:t>
            </w:r>
          </w:p>
          <w:p>
            <w:pPr>
              <w:pStyle w:val="null3"/>
              <w:ind w:firstLine="562"/>
              <w:jc w:val="both"/>
            </w:pPr>
            <w:r>
              <w:rPr>
                <w:rFonts w:ascii="仿宋_GB2312" w:hAnsi="仿宋_GB2312" w:cs="仿宋_GB2312" w:eastAsia="仿宋_GB2312"/>
                <w:sz w:val="28"/>
                <w:b/>
              </w:rPr>
              <w:t>四、服务要求</w:t>
            </w:r>
          </w:p>
          <w:p>
            <w:pPr>
              <w:pStyle w:val="null3"/>
              <w:jc w:val="left"/>
            </w:pPr>
            <w:r>
              <w:rPr>
                <w:rFonts w:ascii="仿宋_GB2312" w:hAnsi="仿宋_GB2312" w:cs="仿宋_GB2312" w:eastAsia="仿宋_GB2312"/>
                <w:sz w:val="28"/>
              </w:rPr>
              <w:t>1、根据采购人要求编写本项目的整体技术方</w:t>
            </w:r>
            <w:r>
              <w:rPr>
                <w:rFonts w:ascii="仿宋_GB2312" w:hAnsi="仿宋_GB2312" w:cs="仿宋_GB2312" w:eastAsia="仿宋_GB2312"/>
                <w:sz w:val="28"/>
              </w:rPr>
              <w:t>案；技术方案应对采购文件技术要求全面响应；技术方案内容要求，可包括需求分析、内容设计、部署方案、安全保障等。</w:t>
            </w:r>
          </w:p>
          <w:p>
            <w:pPr>
              <w:pStyle w:val="null3"/>
              <w:jc w:val="both"/>
            </w:pPr>
            <w:r>
              <w:rPr>
                <w:rFonts w:ascii="仿宋_GB2312" w:hAnsi="仿宋_GB2312" w:cs="仿宋_GB2312" w:eastAsia="仿宋_GB2312"/>
                <w:sz w:val="28"/>
              </w:rPr>
              <w:t>2、根据采购人要求布置场地，现场、活动氛围布置符合活动主题；</w:t>
            </w:r>
          </w:p>
          <w:p>
            <w:pPr>
              <w:pStyle w:val="null3"/>
              <w:jc w:val="both"/>
            </w:pPr>
            <w:r>
              <w:rPr>
                <w:rFonts w:ascii="仿宋_GB2312" w:hAnsi="仿宋_GB2312" w:cs="仿宋_GB2312" w:eastAsia="仿宋_GB2312"/>
                <w:sz w:val="28"/>
              </w:rPr>
              <w:t>3、具有实施本项目的现场管理团队及相关设备；</w:t>
            </w:r>
          </w:p>
          <w:p>
            <w:pPr>
              <w:pStyle w:val="null3"/>
              <w:jc w:val="both"/>
            </w:pPr>
            <w:r>
              <w:rPr>
                <w:rFonts w:ascii="仿宋_GB2312" w:hAnsi="仿宋_GB2312" w:cs="仿宋_GB2312" w:eastAsia="仿宋_GB2312"/>
                <w:sz w:val="28"/>
              </w:rPr>
              <w:t>4、根据本项目实际情况配备人员；制定安全应急管理预案及管理机制。</w:t>
            </w:r>
          </w:p>
          <w:p>
            <w:pPr>
              <w:pStyle w:val="null3"/>
              <w:ind w:firstLine="562"/>
              <w:jc w:val="both"/>
            </w:pPr>
            <w:r>
              <w:rPr>
                <w:rFonts w:ascii="仿宋_GB2312" w:hAnsi="仿宋_GB2312" w:cs="仿宋_GB2312" w:eastAsia="仿宋_GB2312"/>
                <w:sz w:val="28"/>
                <w:b/>
              </w:rPr>
              <w:t>五、商务要求</w:t>
            </w:r>
          </w:p>
          <w:p>
            <w:pPr>
              <w:pStyle w:val="null3"/>
              <w:ind w:firstLine="560"/>
              <w:jc w:val="both"/>
            </w:pPr>
            <w:r>
              <w:rPr>
                <w:rFonts w:ascii="仿宋_GB2312" w:hAnsi="仿宋_GB2312" w:cs="仿宋_GB2312" w:eastAsia="仿宋_GB2312"/>
                <w:sz w:val="28"/>
              </w:rPr>
              <w:t>（一）服务期限</w:t>
            </w:r>
          </w:p>
          <w:p>
            <w:pPr>
              <w:pStyle w:val="null3"/>
              <w:ind w:firstLine="280"/>
              <w:jc w:val="both"/>
            </w:pPr>
            <w:r>
              <w:rPr>
                <w:rFonts w:ascii="仿宋_GB2312" w:hAnsi="仿宋_GB2312" w:cs="仿宋_GB2312" w:eastAsia="仿宋_GB2312"/>
                <w:sz w:val="28"/>
              </w:rPr>
              <w:t>自合同签订之日起至2026年9月30日</w:t>
            </w:r>
          </w:p>
          <w:p>
            <w:pPr>
              <w:pStyle w:val="null3"/>
              <w:ind w:firstLine="560"/>
              <w:jc w:val="both"/>
            </w:pPr>
            <w:r>
              <w:rPr>
                <w:rFonts w:ascii="仿宋_GB2312" w:hAnsi="仿宋_GB2312" w:cs="仿宋_GB2312" w:eastAsia="仿宋_GB2312"/>
                <w:sz w:val="28"/>
              </w:rPr>
              <w:t>（二）款项结算</w:t>
            </w:r>
          </w:p>
          <w:p>
            <w:pPr>
              <w:pStyle w:val="null3"/>
              <w:jc w:val="both"/>
            </w:pPr>
            <w:r>
              <w:rPr>
                <w:rFonts w:ascii="仿宋_GB2312" w:hAnsi="仿宋_GB2312" w:cs="仿宋_GB2312" w:eastAsia="仿宋_GB2312"/>
                <w:sz w:val="28"/>
              </w:rPr>
              <w:t>1、付款条件说明：合同签订后，达到付款条件起20日内，支付合同总金额的 70 .00%。</w:t>
            </w:r>
          </w:p>
          <w:p>
            <w:pPr>
              <w:pStyle w:val="null3"/>
              <w:jc w:val="both"/>
            </w:pPr>
            <w:r>
              <w:rPr>
                <w:rFonts w:ascii="仿宋_GB2312" w:hAnsi="仿宋_GB2312" w:cs="仿宋_GB2312" w:eastAsia="仿宋_GB2312"/>
                <w:sz w:val="28"/>
              </w:rPr>
              <w:t>2、付款条件说明：</w:t>
            </w:r>
            <w:r>
              <w:rPr>
                <w:rFonts w:ascii="仿宋_GB2312" w:hAnsi="仿宋_GB2312" w:cs="仿宋_GB2312" w:eastAsia="仿宋_GB2312"/>
                <w:sz w:val="28"/>
              </w:rPr>
              <w:t>完成</w:t>
            </w:r>
            <w:r>
              <w:rPr>
                <w:rFonts w:ascii="仿宋_GB2312" w:hAnsi="仿宋_GB2312" w:cs="仿宋_GB2312" w:eastAsia="仿宋_GB2312"/>
                <w:sz w:val="28"/>
              </w:rPr>
              <w:t>约定</w:t>
            </w:r>
            <w:r>
              <w:rPr>
                <w:rFonts w:ascii="仿宋_GB2312" w:hAnsi="仿宋_GB2312" w:cs="仿宋_GB2312" w:eastAsia="仿宋_GB2312"/>
                <w:sz w:val="28"/>
              </w:rPr>
              <w:t>全部内容，经甲方验收合格后，达到付款条件起</w:t>
            </w:r>
            <w:r>
              <w:rPr>
                <w:rFonts w:ascii="仿宋_GB2312" w:hAnsi="仿宋_GB2312" w:cs="仿宋_GB2312" w:eastAsia="仿宋_GB2312"/>
                <w:sz w:val="28"/>
              </w:rPr>
              <w:t>20日内，支付合同总金额的30.00%。</w:t>
            </w:r>
          </w:p>
          <w:p>
            <w:pPr>
              <w:pStyle w:val="null3"/>
              <w:ind w:firstLine="700"/>
              <w:jc w:val="both"/>
            </w:pPr>
            <w:r>
              <w:rPr>
                <w:rFonts w:ascii="仿宋_GB2312" w:hAnsi="仿宋_GB2312" w:cs="仿宋_GB2312" w:eastAsia="仿宋_GB2312"/>
                <w:sz w:val="28"/>
              </w:rPr>
              <w:t>（三）</w:t>
            </w:r>
            <w:r>
              <w:rPr>
                <w:rFonts w:ascii="仿宋_GB2312" w:hAnsi="仿宋_GB2312" w:cs="仿宋_GB2312" w:eastAsia="仿宋_GB2312"/>
                <w:sz w:val="28"/>
              </w:rPr>
              <w:t>验收交付标准和方法：</w:t>
            </w:r>
          </w:p>
          <w:p>
            <w:pPr>
              <w:pStyle w:val="null3"/>
              <w:ind w:firstLine="700"/>
              <w:jc w:val="both"/>
            </w:pP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服务期满，甲方对所有服务成果通过审核后，向乙方出具服务验收单作为对乙方合同履约情况的最终认可。</w:t>
            </w:r>
          </w:p>
          <w:p>
            <w:pPr>
              <w:pStyle w:val="null3"/>
              <w:ind w:firstLine="700"/>
              <w:jc w:val="both"/>
            </w:pPr>
            <w:r>
              <w:rPr>
                <w:rFonts w:ascii="仿宋_GB2312" w:hAnsi="仿宋_GB2312" w:cs="仿宋_GB2312" w:eastAsia="仿宋_GB2312"/>
                <w:sz w:val="28"/>
              </w:rPr>
              <w:t>2、验收依据</w:t>
            </w:r>
            <w:r>
              <w:rPr>
                <w:rFonts w:ascii="仿宋_GB2312" w:hAnsi="仿宋_GB2312" w:cs="仿宋_GB2312" w:eastAsia="仿宋_GB2312"/>
                <w:sz w:val="28"/>
              </w:rPr>
              <w:t>:合同文本、招标文件、投标文件。</w:t>
            </w:r>
            <w:r>
              <w:rPr>
                <w:rFonts w:ascii="仿宋_GB2312" w:hAnsi="仿宋_GB2312" w:cs="仿宋_GB2312" w:eastAsia="仿宋_GB2312"/>
                <w:sz w:val="21"/>
              </w:rPr>
              <w:t xml:space="preserve">  </w:t>
            </w:r>
          </w:p>
          <w:p>
            <w:pPr>
              <w:pStyle w:val="null3"/>
              <w:ind w:firstLine="700"/>
              <w:jc w:val="both"/>
            </w:pPr>
            <w:r>
              <w:rPr>
                <w:rFonts w:ascii="仿宋_GB2312" w:hAnsi="仿宋_GB2312" w:cs="仿宋_GB2312" w:eastAsia="仿宋_GB2312"/>
                <w:sz w:val="28"/>
              </w:rPr>
              <w:t>（四）违约责任与解决争议的方法：</w:t>
            </w:r>
          </w:p>
          <w:p>
            <w:pPr>
              <w:pStyle w:val="null3"/>
              <w:ind w:firstLine="700"/>
              <w:jc w:val="both"/>
            </w:pPr>
            <w:r>
              <w:rPr>
                <w:rFonts w:ascii="仿宋_GB2312" w:hAnsi="仿宋_GB2312" w:cs="仿宋_GB2312" w:eastAsia="仿宋_GB2312"/>
                <w:sz w:val="28"/>
              </w:rPr>
              <w:t>1、本合同执行过程中，如发现相关事项约定不明确，或者履行监管程序受到限制需要增加、调整约定事项的，甲乙双方可对</w:t>
            </w:r>
            <w:r>
              <w:rPr>
                <w:rFonts w:ascii="仿宋_GB2312" w:hAnsi="仿宋_GB2312" w:cs="仿宋_GB2312" w:eastAsia="仿宋_GB2312"/>
                <w:sz w:val="28"/>
              </w:rPr>
              <w:t>合同书相关条款进行变更，并签订补充协议或者重新签订合同书。</w:t>
            </w:r>
          </w:p>
          <w:p>
            <w:pPr>
              <w:pStyle w:val="null3"/>
              <w:jc w:val="both"/>
            </w:pPr>
            <w:r>
              <w:rPr>
                <w:rFonts w:ascii="仿宋_GB2312" w:hAnsi="仿宋_GB2312" w:cs="仿宋_GB2312" w:eastAsia="仿宋_GB2312"/>
                <w:sz w:val="28"/>
              </w:rPr>
              <w:t xml:space="preserve">       2、因不可抗力导致双方或某一方无法履行本合同书的，根据不可抗力的影响，可部分或者全部免除无法履约方的责任，法律另有规定的除外。</w:t>
            </w:r>
          </w:p>
          <w:p>
            <w:pPr>
              <w:pStyle w:val="null3"/>
              <w:jc w:val="both"/>
            </w:pPr>
            <w:r>
              <w:rPr>
                <w:rFonts w:ascii="仿宋_GB2312" w:hAnsi="仿宋_GB2312" w:cs="仿宋_GB2312" w:eastAsia="仿宋_GB2312"/>
                <w:sz w:val="28"/>
              </w:rPr>
              <w:t xml:space="preserve">       3、甲乙双方如因一方违反本合同 书，应根据《民法典》的有关规定，向对方支付违约金。</w:t>
            </w:r>
          </w:p>
          <w:p>
            <w:pPr>
              <w:pStyle w:val="null3"/>
              <w:jc w:val="both"/>
            </w:pPr>
            <w:r>
              <w:rPr>
                <w:rFonts w:ascii="仿宋_GB2312" w:hAnsi="仿宋_GB2312" w:cs="仿宋_GB2312" w:eastAsia="仿宋_GB2312"/>
                <w:sz w:val="28"/>
              </w:rPr>
              <w:t xml:space="preserve">       4、因本合同书或执行本合同书产生的任何争议，应当由甲乙双方协商解决，如果协商不成，应将争议提交采购人所在地法院管辖。</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根据采购需求配备相关人员。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根据采购需求配备相关设施设备。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自合同签订之日起至2026年9月30日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1、服务期满，甲方对所有服务成果通过审核后，向乙方出具服务验收单作为对乙方合同履约情况的最终认可。2、验收依据:合同文本、招标文件、投标文件。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完成约定全部内容，经甲方验收合格后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、本合同执行过程中，如发现相关事项约定不明确，或者履行监管程序受到限制需要增加、调整约定事项的，甲乙双方可对合同书相关条款进行变更，并签订补充协议或者重新签订合同书。 2、因不可抗力导致双方或某一方无法履行本合同书的，根据不可抗力的影响，可部分或者全部免除无法履约方的责任，法律另有规定的除外。 3、甲乙双方如因一方违反本合同 书，应根据《民法典》的有关规定，向对方支付违约金。 4、因本合同书或执行本合同书产生的任何争议，应当由甲乙双方协商解决，如果协商不成，应将争议提交采购人所在地法院管辖。</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提供合格有效的法人或者其他组织的营业执照等证明文件或自然人的身份证明；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2022年或2023年或2024年的财务审计报告（至少包括资产负债表和利润表，成立时间至提交响应文件截止时间不足一年的可提供成立后任意时段的资产负债表），或其开标前半年内基本存款账户开户银行出具的资信证明（出具基本存款账户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提供2024年11月1日至今已缴存的任意一个月的纳税证明或完税证明，依法免税的单位应提供相关证明材料；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提供2024年11月1日至今已缴存的任意一个月的社会保障资金或社保机构开具的社会保险参保缴费情况证明，依法不需要缴纳社会保障资金的单位应提供相关证明材料；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履约能力承诺</w:t>
            </w:r>
          </w:p>
        </w:tc>
        <w:tc>
          <w:tcPr>
            <w:tcW w:type="dxa" w:w="3322"/>
          </w:tcPr>
          <w:p>
            <w:pPr>
              <w:pStyle w:val="null3"/>
            </w:pPr>
            <w:r>
              <w:rPr>
                <w:rFonts w:ascii="仿宋_GB2312" w:hAnsi="仿宋_GB2312" w:cs="仿宋_GB2312" w:eastAsia="仿宋_GB2312"/>
              </w:rPr>
              <w:t>具备履行合同所必需的设备和专业技术能力的证明材料(由供应商根据项目需求提供说明材料或者承诺)；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直接参加磋商，须提供法定代表人身份证明，并与营业执照上信息一致。非法定代表人参加磋商时，须提供法定代表人授权委托书（附法定代表人、被授权人身份证复印件）被授权人身份证及被授权人在磋商响应递交截止之日前在投标单位近3个月内任意一个月的社保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供应商在递交响应文件截止时间前被“信用中国 ” 网站（www.creditchina.gov.cn）和中国政府采购网（www.ccgp.gov.cn）上被列入失信被执行人、重大税收违法案件当事人名单、政府采购严重违法失信行为记录名单的，不得参加磋商；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服务内容及服务邀请应答表 商务应答表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在磋商响应文件中按照要求响应</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在磋商响应文件中指定落款处，按文件要求盖章或签字</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按磋商文件要求报价，不得提交选择性报价，未超过磋商最高限价</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项目的理解</w:t>
            </w:r>
          </w:p>
        </w:tc>
        <w:tc>
          <w:tcPr>
            <w:tcW w:type="dxa" w:w="2492"/>
          </w:tcPr>
          <w:p>
            <w:pPr>
              <w:pStyle w:val="null3"/>
            </w:pPr>
            <w:r>
              <w:rPr>
                <w:rFonts w:ascii="仿宋_GB2312" w:hAnsi="仿宋_GB2312" w:cs="仿宋_GB2312" w:eastAsia="仿宋_GB2312"/>
              </w:rPr>
              <w:t>对2025外国专家文化交流活动专项基本情况了解，准确研判项目建设需求背景。 1.对2025外国专家文化交流活动专项基本情况了解。（2分） 2.对2025外国专家文化交流活动专项，能准确研判项目建设需求及背景。（3分） 提供不全或未提供均不得分。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项目重难点分析</w:t>
            </w:r>
          </w:p>
        </w:tc>
        <w:tc>
          <w:tcPr>
            <w:tcW w:type="dxa" w:w="2492"/>
          </w:tcPr>
          <w:p>
            <w:pPr>
              <w:pStyle w:val="null3"/>
            </w:pPr>
            <w:r>
              <w:rPr>
                <w:rFonts w:ascii="仿宋_GB2312" w:hAnsi="仿宋_GB2312" w:cs="仿宋_GB2312" w:eastAsia="仿宋_GB2312"/>
              </w:rPr>
              <w:t>项目目标、项目实施内容，项目需求清晰明确。对项目重点和难点进行挖掘和说明，并做出有针对性分析，提出解决方案。 1.对方案目标的准确性与匹配度进行评审。目标是否紧扣需求方（如甲方、政策、受众）的核心诉求，无偏离或错位等。（3分） 2.项目目标的清晰度与可衡量性进行评审。内容是否具体、明确，避免“空泛化、模糊化”，是否可通过后续行动验证达成效果。（3分） 3.对项目的可行性和合理性进行评审，既不脱离资源、能力、时间限制，也不过于保守缺乏价值。（3分） 4.对方案价值的深度与完整性进行评审。判断方案是否充分挖掘项目的多元价值，而非局限于 “表面产出”，价值是否具有长远性、影响力。（3分） 5.对目标与价值的逻辑关联性进行评审。判断项目目标与价值之间是否存在 “因果闭环”—— 即 “通过达成目标，能切实兑现所宣称的价值”，是否围绕 “目标受众” 的真实需求关联价值。（3分） 提供不全或未提供均不得分。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注：技术方案应对采购文件技术要求全面响应；技术方案内容要求，可包括需求分析、内容设计、部署方案、安全保障等。 1.根据技术方案对需求分析的全面性、准确性、充分性进行评审。（1分-4分） 2.根据总体、业务、逻辑、技术、合理性以及活动的可行性的性进行评审。（1分-4分） 3.根据技术方案要求和描述情况，符合需求和内容积极向上综合进行评审。（1分-4分） 4.对项目理解的准确性、内容设计合理性进行评审。（1分-4分） 5.根据技术方案的全面性进行评审。（1分-4分） 6.根据技术方案的可行性、创新性及与需求的相关性进行评审。（1分-4分） 提供不全或未提供均不得分。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对各投标人的进度计划进行评审。 根据项目实施周期和进度安排的合理性进行评审，最优的得标准分值，其余依次按标准分值的20%递减，最低分为0分，最高5分。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项目管理与实施</w:t>
            </w:r>
          </w:p>
        </w:tc>
        <w:tc>
          <w:tcPr>
            <w:tcW w:type="dxa" w:w="2492"/>
          </w:tcPr>
          <w:p>
            <w:pPr>
              <w:pStyle w:val="null3"/>
            </w:pPr>
            <w:r>
              <w:rPr>
                <w:rFonts w:ascii="仿宋_GB2312" w:hAnsi="仿宋_GB2312" w:cs="仿宋_GB2312" w:eastAsia="仿宋_GB2312"/>
              </w:rPr>
              <w:t>对各投标人的项目管理与实施进行评审。 1.项目风险控制：根据投标供应商提供的项目风险评估及控制方案进行评审。具体包括：风险因素分析、风险评估防范及风险控制措施等内容。最优的得标准分值，其余依次按标准分值的 20 %递减，最低分为0分，标准分3分。 2.质量控制：根据投标供应商质量保证措施进行评审。具体包括：质量管理体系、质量管理人员配备、质量计划、执行过程质量控制的方法措施、交付和售后服务质量控制等内容。最优的得标准分值，其余依次按标准分值的 20 %递减，最低分为0分，标准分值3分。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项目团队人员</w:t>
            </w:r>
          </w:p>
        </w:tc>
        <w:tc>
          <w:tcPr>
            <w:tcW w:type="dxa" w:w="2492"/>
          </w:tcPr>
          <w:p>
            <w:pPr>
              <w:pStyle w:val="null3"/>
            </w:pPr>
            <w:r>
              <w:rPr>
                <w:rFonts w:ascii="仿宋_GB2312" w:hAnsi="仿宋_GB2312" w:cs="仿宋_GB2312" w:eastAsia="仿宋_GB2312"/>
              </w:rPr>
              <w:t>提供拟派本项目团队人员的详细名单及团队人员在本项目中负责的具体工作职责, 根据人员配备数量、工作经验、职责划分合理性等方面。 1.提供拟派项目负责人及其承担同类项目的业绩情况，全程负责项目的沟通、策划和执行统筹。明确项目负责人。项目负责人业绩根据数量每提供一个得1分，本项最高不超过2分。 2.服务团队配置合理，有明确的人员分工，固定全职人员1-2名，全程负责本项目的沟通、策划和执行统筹。1人得2分，最高得4分。 3.项目团队具有丰富的相关领域工作经验，合同期内提供不少8人以上专业技术服务团队，8人得8分，每增加1人加1分，最多加2分，本项最高不超过10分。 备注：提供上述人员的学历证书及职称证、2025年1月至今连续1个月本单位社保缴纳证明。提供不全或未提供均不得分。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完全承诺招标文件和合同条款的要求，对服务期限内服务质量、人员到位情况、后期服务的响应时间及配合程度等做出实质性承诺(内容应当包含不能完全履行承诺时愿意接受相关处罚的相关承诺): 承诺内容全面合理、可操作性强、细节描述详细最优的得标准分值，其余依次按标准分值的20 %递减，最低分为0分，最高分5分。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覆盖安全类、行程与沟通类等内容的应急预案。预案完备得3分；预案切实可行，流程清晰，配备专业团队和相应物资，得3分。提供不全或未提供均不得分。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提供供应商类似项目业绩，每提供一个得2分，满分8分。 备注：业绩时间指投标截止时间3年以内的类似项目业绩。提供不全或未提供均不得分。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 招标投标管理办法》《（财政部令 第87号）的有关规定： 价格分采用低价优先法计算，即满足招标文件要求且投标价格最低的投标报价为评标基准价，其价格分为满分，其他供应商的价格分统一按照下列 公式计算： 报价得分＝（评标基准价/投标报价）x 价格权值 （因落实政府采购政策进行价格调整的，以调整后的价格计算评标基准价和投标报价）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