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911851">
      <w:pPr>
        <w:pStyle w:val="7"/>
        <w:spacing w:line="360" w:lineRule="auto"/>
        <w:jc w:val="center"/>
        <w:outlineLvl w:val="1"/>
        <w:rPr>
          <w:rFonts w:hint="default" w:ascii="仿宋_GB2312" w:eastAsia="仿宋_GB2312"/>
          <w:highlight w:val="none"/>
        </w:rPr>
      </w:pPr>
      <w:r>
        <w:rPr>
          <w:rFonts w:ascii="仿宋_GB2312" w:hAnsi="仿宋_GB2312" w:eastAsia="仿宋_GB2312" w:cs="仿宋_GB2312"/>
          <w:b/>
          <w:sz w:val="36"/>
          <w:highlight w:val="none"/>
        </w:rPr>
        <w:t>拟签订采购合同文本</w:t>
      </w:r>
    </w:p>
    <w:p w14:paraId="5A6F86C7">
      <w:pPr>
        <w:spacing w:line="720" w:lineRule="auto"/>
        <w:jc w:val="center"/>
        <w:rPr>
          <w:rFonts w:ascii="仿宋_GB2312" w:hAnsi="仿宋" w:eastAsia="仿宋_GB2312" w:cs="仿宋"/>
          <w:b/>
          <w:bCs/>
          <w:spacing w:val="113"/>
          <w:sz w:val="32"/>
          <w:szCs w:val="32"/>
          <w:highlight w:val="none"/>
        </w:rPr>
      </w:pPr>
      <w:r>
        <w:rPr>
          <w:rFonts w:hint="eastAsia" w:ascii="仿宋_GB2312" w:hAnsi="仿宋" w:eastAsia="仿宋_GB2312" w:cs="仿宋"/>
          <w:b/>
          <w:bCs/>
          <w:spacing w:val="28"/>
          <w:sz w:val="32"/>
          <w:szCs w:val="32"/>
          <w:highlight w:val="none"/>
        </w:rPr>
        <w:t>2025年高新院区消防维保合同</w:t>
      </w:r>
    </w:p>
    <w:p w14:paraId="27C86E17">
      <w:pPr>
        <w:spacing w:line="480" w:lineRule="auto"/>
        <w:ind w:firstLine="803" w:firstLineChars="400"/>
        <w:rPr>
          <w:rFonts w:ascii="仿宋_GB2312" w:hAnsi="仿宋" w:eastAsia="仿宋_GB2312" w:cs="仿宋"/>
          <w:b/>
          <w:bCs/>
          <w:sz w:val="20"/>
          <w:szCs w:val="20"/>
          <w:highlight w:val="none"/>
        </w:rPr>
      </w:pPr>
    </w:p>
    <w:p w14:paraId="37D81E73">
      <w:pPr>
        <w:rPr>
          <w:rFonts w:ascii="仿宋_GB2312" w:hAnsi="仿宋" w:eastAsia="仿宋_GB2312" w:cs="仿宋"/>
          <w:b/>
          <w:bCs/>
          <w:sz w:val="20"/>
          <w:szCs w:val="20"/>
          <w:highlight w:val="none"/>
        </w:rPr>
      </w:pPr>
    </w:p>
    <w:p w14:paraId="7DB5EF6F">
      <w:pPr>
        <w:pStyle w:val="2"/>
        <w:spacing w:before="133" w:line="720" w:lineRule="auto"/>
        <w:ind w:left="420" w:leftChars="200"/>
        <w:rPr>
          <w:rFonts w:ascii="仿宋_GB2312" w:hAnsi="仿宋" w:eastAsia="仿宋_GB2312" w:cs="仿宋"/>
          <w:b/>
          <w:bCs/>
          <w:spacing w:val="-3"/>
          <w:sz w:val="20"/>
          <w:highlight w:val="none"/>
        </w:rPr>
      </w:pPr>
      <w:r>
        <w:rPr>
          <w:rFonts w:hint="eastAsia" w:ascii="仿宋_GB2312" w:hAnsi="仿宋" w:eastAsia="仿宋_GB2312" w:cs="仿宋"/>
          <w:b/>
          <w:bCs/>
          <w:spacing w:val="-3"/>
          <w:sz w:val="20"/>
          <w:highlight w:val="none"/>
        </w:rPr>
        <w:t>项目名称：</w:t>
      </w:r>
      <w:r>
        <w:rPr>
          <w:rFonts w:hint="eastAsia" w:ascii="仿宋_GB2312" w:hAnsi="仿宋" w:eastAsia="仿宋_GB2312" w:cs="仿宋"/>
          <w:b/>
          <w:bCs/>
          <w:spacing w:val="-3"/>
          <w:sz w:val="20"/>
          <w:highlight w:val="none"/>
          <w:u w:val="single"/>
        </w:rPr>
        <w:t xml:space="preserve">                                           </w:t>
      </w:r>
      <w:r>
        <w:rPr>
          <w:rFonts w:hint="eastAsia" w:ascii="仿宋_GB2312" w:hAnsi="仿宋" w:eastAsia="仿宋_GB2312" w:cs="仿宋"/>
          <w:b/>
          <w:bCs/>
          <w:spacing w:val="-3"/>
          <w:sz w:val="20"/>
          <w:highlight w:val="none"/>
        </w:rPr>
        <w:t xml:space="preserve">           </w:t>
      </w:r>
    </w:p>
    <w:p w14:paraId="32C7038C">
      <w:pPr>
        <w:pStyle w:val="2"/>
        <w:spacing w:before="133" w:line="720" w:lineRule="auto"/>
        <w:ind w:left="420" w:leftChars="200"/>
        <w:rPr>
          <w:rFonts w:ascii="仿宋_GB2312" w:hAnsi="仿宋" w:eastAsia="仿宋_GB2312" w:cs="仿宋"/>
          <w:b/>
          <w:bCs/>
          <w:spacing w:val="-3"/>
          <w:sz w:val="20"/>
          <w:highlight w:val="none"/>
        </w:rPr>
      </w:pPr>
      <w:r>
        <w:rPr>
          <w:rFonts w:hint="eastAsia" w:ascii="仿宋_GB2312" w:hAnsi="仿宋" w:eastAsia="仿宋_GB2312" w:cs="仿宋"/>
          <w:b/>
          <w:bCs/>
          <w:spacing w:val="-3"/>
          <w:sz w:val="20"/>
          <w:highlight w:val="none"/>
        </w:rPr>
        <w:t>甲    方：</w:t>
      </w:r>
      <w:r>
        <w:rPr>
          <w:rFonts w:hint="eastAsia" w:ascii="仿宋_GB2312" w:hAnsi="仿宋" w:eastAsia="仿宋_GB2312" w:cs="仿宋"/>
          <w:b/>
          <w:bCs/>
          <w:spacing w:val="-3"/>
          <w:sz w:val="20"/>
          <w:highlight w:val="none"/>
          <w:u w:val="single"/>
        </w:rPr>
        <w:t xml:space="preserve">                                           </w:t>
      </w:r>
      <w:r>
        <w:rPr>
          <w:rFonts w:hint="eastAsia" w:ascii="仿宋_GB2312" w:hAnsi="仿宋" w:eastAsia="仿宋_GB2312" w:cs="仿宋"/>
          <w:b/>
          <w:bCs/>
          <w:spacing w:val="-3"/>
          <w:sz w:val="20"/>
          <w:highlight w:val="none"/>
        </w:rPr>
        <w:t xml:space="preserve">                                                     </w:t>
      </w:r>
    </w:p>
    <w:p w14:paraId="48100EAE">
      <w:pPr>
        <w:pStyle w:val="2"/>
        <w:spacing w:before="133" w:line="720" w:lineRule="auto"/>
        <w:ind w:left="420" w:leftChars="200"/>
        <w:rPr>
          <w:rFonts w:ascii="仿宋_GB2312" w:hAnsi="仿宋" w:eastAsia="仿宋_GB2312" w:cs="仿宋"/>
          <w:b/>
          <w:bCs/>
          <w:spacing w:val="-3"/>
          <w:sz w:val="20"/>
          <w:highlight w:val="none"/>
        </w:rPr>
      </w:pPr>
      <w:r>
        <w:rPr>
          <w:rFonts w:hint="eastAsia" w:ascii="仿宋_GB2312" w:hAnsi="仿宋" w:eastAsia="仿宋_GB2312" w:cs="仿宋"/>
          <w:b/>
          <w:bCs/>
          <w:spacing w:val="-3"/>
          <w:sz w:val="20"/>
          <w:highlight w:val="none"/>
        </w:rPr>
        <w:t>乙    方：</w:t>
      </w:r>
      <w:r>
        <w:rPr>
          <w:rFonts w:hint="eastAsia" w:ascii="仿宋_GB2312" w:hAnsi="仿宋" w:eastAsia="仿宋_GB2312" w:cs="仿宋"/>
          <w:b/>
          <w:bCs/>
          <w:spacing w:val="-3"/>
          <w:sz w:val="20"/>
          <w:highlight w:val="none"/>
          <w:u w:val="single"/>
        </w:rPr>
        <w:t xml:space="preserve">                                           </w:t>
      </w:r>
      <w:r>
        <w:rPr>
          <w:rFonts w:hint="eastAsia" w:ascii="仿宋_GB2312" w:hAnsi="仿宋" w:eastAsia="仿宋_GB2312" w:cs="仿宋"/>
          <w:b/>
          <w:bCs/>
          <w:spacing w:val="-3"/>
          <w:sz w:val="20"/>
          <w:highlight w:val="none"/>
        </w:rPr>
        <w:t xml:space="preserve">                                                               </w:t>
      </w:r>
    </w:p>
    <w:p w14:paraId="6212DF94">
      <w:pPr>
        <w:pStyle w:val="2"/>
        <w:spacing w:before="133" w:line="720" w:lineRule="auto"/>
        <w:ind w:left="420" w:leftChars="200"/>
        <w:rPr>
          <w:rFonts w:ascii="仿宋_GB2312" w:hAnsi="仿宋" w:eastAsia="仿宋_GB2312" w:cs="仿宋"/>
          <w:spacing w:val="-3"/>
          <w:sz w:val="20"/>
          <w:highlight w:val="none"/>
        </w:rPr>
      </w:pPr>
      <w:r>
        <w:rPr>
          <w:rFonts w:hint="eastAsia" w:ascii="仿宋_GB2312" w:hAnsi="仿宋" w:eastAsia="仿宋_GB2312" w:cs="仿宋"/>
          <w:b/>
          <w:bCs/>
          <w:spacing w:val="-3"/>
          <w:sz w:val="20"/>
          <w:highlight w:val="none"/>
        </w:rPr>
        <w:t>签订时间：</w:t>
      </w:r>
      <w:r>
        <w:rPr>
          <w:rFonts w:hint="eastAsia" w:ascii="仿宋_GB2312" w:hAnsi="仿宋" w:eastAsia="仿宋_GB2312" w:cs="仿宋"/>
          <w:b/>
          <w:bCs/>
          <w:spacing w:val="-3"/>
          <w:sz w:val="20"/>
          <w:highlight w:val="none"/>
          <w:u w:val="single"/>
        </w:rPr>
        <w:t xml:space="preserve">                                           </w:t>
      </w:r>
      <w:r>
        <w:rPr>
          <w:rFonts w:hint="eastAsia" w:ascii="仿宋_GB2312" w:hAnsi="仿宋" w:eastAsia="仿宋_GB2312" w:cs="仿宋"/>
          <w:b/>
          <w:bCs/>
          <w:spacing w:val="-3"/>
          <w:sz w:val="20"/>
          <w:highlight w:val="none"/>
        </w:rPr>
        <w:t xml:space="preserve"> </w:t>
      </w:r>
      <w:r>
        <w:rPr>
          <w:rFonts w:hint="eastAsia" w:ascii="仿宋_GB2312" w:hAnsi="仿宋" w:eastAsia="仿宋_GB2312" w:cs="仿宋"/>
          <w:spacing w:val="-3"/>
          <w:sz w:val="20"/>
          <w:highlight w:val="none"/>
        </w:rPr>
        <w:t xml:space="preserve">                                              </w:t>
      </w:r>
    </w:p>
    <w:p w14:paraId="297113C8">
      <w:pPr>
        <w:pStyle w:val="2"/>
        <w:spacing w:before="133" w:line="167" w:lineRule="auto"/>
        <w:rPr>
          <w:rFonts w:ascii="仿宋_GB2312" w:hAnsi="仿宋" w:eastAsia="仿宋_GB2312" w:cs="仿宋"/>
          <w:b/>
          <w:bCs/>
          <w:sz w:val="20"/>
          <w:highlight w:val="none"/>
        </w:rPr>
        <w:sectPr>
          <w:headerReference r:id="rId3" w:type="default"/>
          <w:footerReference r:id="rId4" w:type="default"/>
          <w:pgSz w:w="11906" w:h="16838"/>
          <w:pgMar w:top="1440" w:right="1800" w:bottom="1440" w:left="1800" w:header="851" w:footer="992" w:gutter="0"/>
          <w:pgNumType w:start="1"/>
          <w:cols w:space="720" w:num="1"/>
          <w:docGrid w:type="lines" w:linePitch="312" w:charSpace="0"/>
        </w:sectPr>
      </w:pPr>
      <w:r>
        <w:rPr>
          <w:rFonts w:hint="eastAsia" w:ascii="仿宋_GB2312" w:hAnsi="仿宋" w:eastAsia="仿宋_GB2312" w:cs="仿宋"/>
          <w:spacing w:val="-3"/>
          <w:sz w:val="20"/>
          <w:highlight w:val="none"/>
        </w:rPr>
        <w:t xml:space="preserve">        </w:t>
      </w:r>
      <w:r>
        <w:rPr>
          <w:rFonts w:hint="eastAsia" w:ascii="仿宋_GB2312" w:hAnsi="仿宋" w:eastAsia="仿宋_GB2312" w:cs="仿宋"/>
          <w:b/>
          <w:bCs/>
          <w:sz w:val="20"/>
          <w:highlight w:val="none"/>
        </w:rPr>
        <w:t xml:space="preserve">                   </w:t>
      </w:r>
    </w:p>
    <w:p w14:paraId="166C2A2C">
      <w:pPr>
        <w:spacing w:line="600" w:lineRule="auto"/>
        <w:jc w:val="center"/>
        <w:rPr>
          <w:rFonts w:ascii="仿宋_GB2312" w:hAnsi="仿宋" w:eastAsia="仿宋_GB2312" w:cs="仿宋"/>
          <w:b/>
          <w:bCs/>
          <w:sz w:val="32"/>
          <w:szCs w:val="32"/>
          <w:highlight w:val="none"/>
        </w:rPr>
      </w:pPr>
      <w:r>
        <w:rPr>
          <w:rFonts w:hint="eastAsia" w:ascii="仿宋_GB2312" w:hAnsi="仿宋" w:eastAsia="仿宋_GB2312" w:cs="仿宋"/>
          <w:b/>
          <w:bCs/>
          <w:sz w:val="32"/>
          <w:szCs w:val="32"/>
          <w:highlight w:val="none"/>
        </w:rPr>
        <w:t>2025年高新院区消防维保合同</w:t>
      </w:r>
    </w:p>
    <w:p w14:paraId="036236AD">
      <w:pPr>
        <w:spacing w:line="600" w:lineRule="auto"/>
        <w:rPr>
          <w:rFonts w:ascii="仿宋_GB2312" w:hAnsi="仿宋" w:eastAsia="仿宋_GB2312" w:cs="仿宋"/>
          <w:b/>
          <w:bCs/>
          <w:sz w:val="20"/>
          <w:szCs w:val="20"/>
          <w:highlight w:val="none"/>
          <w:u w:val="single"/>
        </w:rPr>
      </w:pPr>
      <w:r>
        <w:rPr>
          <w:rFonts w:hint="eastAsia" w:ascii="仿宋_GB2312" w:hAnsi="仿宋" w:eastAsia="仿宋_GB2312" w:cs="仿宋"/>
          <w:b/>
          <w:bCs/>
          <w:sz w:val="20"/>
          <w:szCs w:val="20"/>
          <w:highlight w:val="none"/>
        </w:rPr>
        <w:t>甲方：</w:t>
      </w:r>
      <w:r>
        <w:rPr>
          <w:rFonts w:hint="eastAsia" w:ascii="仿宋_GB2312" w:hAnsi="仿宋" w:eastAsia="仿宋_GB2312" w:cs="仿宋"/>
          <w:b/>
          <w:bCs/>
          <w:sz w:val="20"/>
          <w:szCs w:val="20"/>
          <w:highlight w:val="none"/>
          <w:u w:val="single"/>
        </w:rPr>
        <w:t xml:space="preserve">                               </w:t>
      </w:r>
    </w:p>
    <w:p w14:paraId="7CEFCC36">
      <w:pPr>
        <w:spacing w:line="600" w:lineRule="auto"/>
        <w:rPr>
          <w:rFonts w:ascii="仿宋_GB2312" w:hAnsi="仿宋" w:eastAsia="仿宋_GB2312" w:cs="仿宋"/>
          <w:b/>
          <w:bCs/>
          <w:sz w:val="20"/>
          <w:szCs w:val="20"/>
          <w:highlight w:val="none"/>
          <w:u w:val="single"/>
        </w:rPr>
      </w:pPr>
      <w:r>
        <w:rPr>
          <w:rFonts w:hint="eastAsia" w:ascii="仿宋_GB2312" w:hAnsi="仿宋" w:eastAsia="仿宋_GB2312" w:cs="仿宋"/>
          <w:b/>
          <w:bCs/>
          <w:sz w:val="20"/>
          <w:szCs w:val="20"/>
          <w:highlight w:val="none"/>
        </w:rPr>
        <w:t>乙方：</w:t>
      </w:r>
      <w:r>
        <w:rPr>
          <w:rFonts w:hint="eastAsia" w:ascii="仿宋_GB2312" w:hAnsi="仿宋" w:eastAsia="仿宋_GB2312" w:cs="仿宋"/>
          <w:b/>
          <w:bCs/>
          <w:sz w:val="20"/>
          <w:szCs w:val="20"/>
          <w:highlight w:val="none"/>
          <w:u w:val="single"/>
        </w:rPr>
        <w:t xml:space="preserve">                               </w:t>
      </w:r>
    </w:p>
    <w:p w14:paraId="04DD789A">
      <w:pPr>
        <w:spacing w:line="360" w:lineRule="auto"/>
        <w:ind w:firstLine="400" w:firstLineChars="200"/>
        <w:rPr>
          <w:rFonts w:ascii="仿宋_GB2312" w:hAnsi="仿宋" w:eastAsia="仿宋_GB2312" w:cs="仿宋"/>
          <w:sz w:val="20"/>
          <w:szCs w:val="20"/>
          <w:highlight w:val="none"/>
        </w:rPr>
      </w:pPr>
      <w:r>
        <w:rPr>
          <w:rFonts w:hint="eastAsia" w:ascii="仿宋_GB2312" w:hAnsi="仿宋" w:eastAsia="仿宋_GB2312" w:cs="仿宋"/>
          <w:sz w:val="20"/>
          <w:szCs w:val="20"/>
          <w:highlight w:val="none"/>
        </w:rPr>
        <w:t>根据《中华人民共和国民法典》和《中华人民共和国消防法》等有关法律法规，经甲乙双方协商一致，甲方委托乙方对指定建筑的消防设施进行维护保养，为明确双方责任，特制定本合同。</w:t>
      </w:r>
    </w:p>
    <w:p w14:paraId="4B0DB59D">
      <w:pPr>
        <w:numPr>
          <w:ilvl w:val="0"/>
          <w:numId w:val="1"/>
        </w:numPr>
        <w:spacing w:line="360" w:lineRule="auto"/>
        <w:ind w:firstLine="0"/>
        <w:rPr>
          <w:rFonts w:ascii="仿宋_GB2312" w:hAnsi="仿宋" w:eastAsia="仿宋_GB2312" w:cs="仿宋"/>
          <w:b/>
          <w:bCs/>
          <w:sz w:val="20"/>
          <w:szCs w:val="20"/>
          <w:highlight w:val="none"/>
        </w:rPr>
      </w:pPr>
      <w:r>
        <w:rPr>
          <w:rFonts w:hint="eastAsia" w:ascii="仿宋_GB2312" w:hAnsi="仿宋" w:eastAsia="仿宋_GB2312" w:cs="仿宋"/>
          <w:b/>
          <w:bCs/>
          <w:sz w:val="20"/>
          <w:szCs w:val="20"/>
          <w:highlight w:val="none"/>
        </w:rPr>
        <w:t>项目概况</w:t>
      </w:r>
    </w:p>
    <w:p w14:paraId="579309BC">
      <w:pPr>
        <w:spacing w:line="360" w:lineRule="auto"/>
        <w:ind w:firstLine="400" w:firstLineChars="200"/>
        <w:rPr>
          <w:rFonts w:ascii="仿宋_GB2312" w:hAnsi="仿宋" w:eastAsia="仿宋_GB2312" w:cs="仿宋"/>
          <w:sz w:val="20"/>
          <w:szCs w:val="20"/>
          <w:highlight w:val="none"/>
        </w:rPr>
      </w:pPr>
      <w:r>
        <w:rPr>
          <w:rFonts w:hint="eastAsia" w:ascii="仿宋_GB2312" w:hAnsi="仿宋" w:eastAsia="仿宋_GB2312" w:cs="仿宋"/>
          <w:sz w:val="20"/>
          <w:szCs w:val="20"/>
          <w:highlight w:val="none"/>
        </w:rPr>
        <w:t xml:space="preserve">2025年高新院区消防维保项目，项目位于西安市第一医院高新院区。西安市第一医院高新院区总建筑面积27.7万平方米。为保障院区医护人员、患者及家属的人身安全与公共财产安全，有效预防和处置火灾事故，依据《中华人民共和国消防法》等法律法规，需对院区所有消防设施进行专业化维护保养，确保设施时刻处于有效运行状态。        </w:t>
      </w:r>
    </w:p>
    <w:p w14:paraId="0D65253D">
      <w:pPr>
        <w:numPr>
          <w:ilvl w:val="0"/>
          <w:numId w:val="1"/>
        </w:numPr>
        <w:spacing w:line="360" w:lineRule="auto"/>
        <w:ind w:firstLine="0"/>
        <w:rPr>
          <w:rFonts w:ascii="仿宋_GB2312" w:hAnsi="仿宋" w:eastAsia="仿宋_GB2312" w:cs="仿宋"/>
          <w:b/>
          <w:bCs/>
          <w:sz w:val="20"/>
          <w:szCs w:val="20"/>
          <w:highlight w:val="none"/>
        </w:rPr>
      </w:pPr>
      <w:r>
        <w:rPr>
          <w:rFonts w:hint="eastAsia" w:ascii="仿宋_GB2312" w:hAnsi="仿宋" w:eastAsia="仿宋_GB2312" w:cs="仿宋"/>
          <w:b/>
          <w:bCs/>
          <w:sz w:val="20"/>
          <w:szCs w:val="20"/>
          <w:highlight w:val="none"/>
        </w:rPr>
        <w:t>服务内容和标准</w:t>
      </w:r>
    </w:p>
    <w:p w14:paraId="4ECF219C">
      <w:pPr>
        <w:numPr>
          <w:ilvl w:val="0"/>
          <w:numId w:val="2"/>
        </w:numPr>
        <w:spacing w:line="360" w:lineRule="auto"/>
        <w:rPr>
          <w:rFonts w:ascii="仿宋_GB2312" w:hAnsi="仿宋" w:eastAsia="仿宋_GB2312"/>
          <w:sz w:val="20"/>
          <w:szCs w:val="20"/>
          <w:highlight w:val="none"/>
        </w:rPr>
      </w:pPr>
      <w:r>
        <w:rPr>
          <w:rFonts w:hint="eastAsia" w:ascii="仿宋_GB2312" w:hAnsi="仿宋" w:eastAsia="仿宋_GB2312"/>
          <w:sz w:val="20"/>
          <w:szCs w:val="20"/>
          <w:highlight w:val="none"/>
        </w:rPr>
        <w:t>服务内容</w:t>
      </w:r>
    </w:p>
    <w:p w14:paraId="276469AE">
      <w:pPr>
        <w:pStyle w:val="7"/>
        <w:spacing w:line="360" w:lineRule="auto"/>
        <w:jc w:val="both"/>
        <w:rPr>
          <w:rFonts w:ascii="仿宋_GB2312" w:hAnsi="仿宋" w:eastAsia="仿宋_GB2312" w:cs="Times New Roman"/>
          <w:color w:val="auto"/>
          <w:highlight w:val="none"/>
        </w:rPr>
      </w:pPr>
      <w:r>
        <w:rPr>
          <w:rFonts w:ascii="仿宋_GB2312" w:hAnsi="仿宋" w:eastAsia="仿宋_GB2312" w:cs="Times New Roman"/>
          <w:color w:val="auto"/>
          <w:highlight w:val="none"/>
        </w:rPr>
        <w:t>西安市第一医院2025年度消防设施进行全面维护保养和检查，保证其正常运行，消防维保服务范围：覆盖院区所有建筑及附属区域内的全部消防设施，具体包括：火灾自动报警系统、室内外消火栓系统、自动喷水灭火系统、防排烟系统、消防广播系统、防火卷帘与防火门、消防水泵房及稳压泵房、应急照明及疏散指示系统、消防水箱及消防水池等消防设备及设施。</w:t>
      </w:r>
    </w:p>
    <w:p w14:paraId="0184EE34">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w:t>
      </w:r>
      <w:r>
        <w:rPr>
          <w:rFonts w:hint="eastAsia" w:ascii="仿宋_GB2312" w:hAnsi="仿宋" w:eastAsia="仿宋_GB2312" w:cs="Times New Roman"/>
          <w:color w:val="auto"/>
          <w:highlight w:val="none"/>
          <w:lang w:val="en-US" w:eastAsia="zh-CN"/>
        </w:rPr>
        <w:t>1</w:t>
      </w:r>
      <w:r>
        <w:rPr>
          <w:rFonts w:hint="default" w:ascii="仿宋_GB2312" w:hAnsi="仿宋" w:eastAsia="仿宋_GB2312" w:cs="Times New Roman"/>
          <w:color w:val="auto"/>
          <w:highlight w:val="none"/>
        </w:rPr>
        <w:t>）火灾自动报警系统</w:t>
      </w:r>
    </w:p>
    <w:p w14:paraId="3D2189BD">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1.对消防火灾报警控制器进行每月一次自检功能检查。</w:t>
      </w:r>
    </w:p>
    <w:p w14:paraId="4E165C44">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2.对可测量的相关参数每月一次进行查看记录，如回路电流等。</w:t>
      </w:r>
    </w:p>
    <w:p w14:paraId="78ED090A">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3.每月一次检查公共场所的烟感器、温感器安装是否牢固，底座接线是否良好，外观是否洁净完好。</w:t>
      </w:r>
    </w:p>
    <w:p w14:paraId="69DE371E">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4. 每个月一次各抽取不低于5％的烟感和温感，进行喷烟或加热后查看报警是否正确。</w:t>
      </w:r>
    </w:p>
    <w:p w14:paraId="2605E2F3">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5.每个月检查一次手动报警按钮是否牢固，有无破损或丢失。并抽取不低于5％手动报警按钮，测试报警功能是否正常。</w:t>
      </w:r>
    </w:p>
    <w:p w14:paraId="31D539F7">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6. 对联动控制柜的按钮每半个月不低于5％的比例进行功能试验。</w:t>
      </w:r>
    </w:p>
    <w:p w14:paraId="311247A0">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7. 每个月一次对火灾报警控制柜和联动控制柜等进行清扫除尘。并对自检、消音、复位功能检查；主电源与备用电源切换、报警检查。</w:t>
      </w:r>
    </w:p>
    <w:p w14:paraId="2C36F33C">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8.做好日常记录。</w:t>
      </w:r>
    </w:p>
    <w:p w14:paraId="7E6D7486">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w:t>
      </w:r>
      <w:r>
        <w:rPr>
          <w:rFonts w:hint="eastAsia" w:ascii="仿宋_GB2312" w:hAnsi="仿宋" w:eastAsia="仿宋_GB2312" w:cs="Times New Roman"/>
          <w:color w:val="auto"/>
          <w:highlight w:val="none"/>
          <w:lang w:val="en-US" w:eastAsia="zh-CN"/>
        </w:rPr>
        <w:t>2</w:t>
      </w:r>
      <w:r>
        <w:rPr>
          <w:rFonts w:hint="default" w:ascii="仿宋_GB2312" w:hAnsi="仿宋" w:eastAsia="仿宋_GB2312" w:cs="Times New Roman"/>
          <w:color w:val="auto"/>
          <w:highlight w:val="none"/>
        </w:rPr>
        <w:t>）防排送风系统</w:t>
      </w:r>
    </w:p>
    <w:p w14:paraId="11B98A51">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1. 每月一次检查电机接地是否良好。</w:t>
      </w:r>
    </w:p>
    <w:p w14:paraId="2446D196">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2. 每月一次检查及牢固各部分松动的螺丝及联轴器。</w:t>
      </w:r>
    </w:p>
    <w:p w14:paraId="17AA3C3B">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3. 每月一次检测电动机的绝缘电阻、主回路接触点。</w:t>
      </w:r>
    </w:p>
    <w:p w14:paraId="6FF806BA">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4. 每月一次调整皮带松紧，确保转动良好。</w:t>
      </w:r>
    </w:p>
    <w:p w14:paraId="7C41255C">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5. 每月一次检查与更换各结合面间的垫片和密封填料。</w:t>
      </w:r>
    </w:p>
    <w:p w14:paraId="0E51A307">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6. 每月一次清洁电机及风滤器和机壳内部。</w:t>
      </w:r>
    </w:p>
    <w:p w14:paraId="2B0D6217">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7. 每月一次向转动部位加润滑油，保证联轴器及轴承的灵活性及稳定性。</w:t>
      </w:r>
    </w:p>
    <w:p w14:paraId="6CC7C3E7">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8. 每月一次检查调节阀的机械开闭动作，开闭角度标志。</w:t>
      </w:r>
    </w:p>
    <w:p w14:paraId="69F54E08">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9. 每月一次手动开机测定三相电流值，检查指示灯电压、电流表，保证风机各部件运行正常。</w:t>
      </w:r>
    </w:p>
    <w:p w14:paraId="53D29F34">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10. 每月一次对各遥控点的控制箱（含箱内元件）进行全面检查，保证各点遥控的正确性、可靠性。</w:t>
      </w:r>
    </w:p>
    <w:p w14:paraId="5EC061F4">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11.对风机每半个月进行一次连续运转5—7分钟的验证，确保风机运转正常。</w:t>
      </w:r>
    </w:p>
    <w:p w14:paraId="3050495D">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12. 每月一次检查及保证各控制箱内的电器触点及各接线端子无松动、锈蚀现象。</w:t>
      </w:r>
    </w:p>
    <w:p w14:paraId="23F686C5">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13. 每月一次检查排烟阀微动开关及内部接线端子，端子无松动，微动开关固定良好。</w:t>
      </w:r>
    </w:p>
    <w:p w14:paraId="6B866F86">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14. 每月一次检查远控排烟阀复位按钮、导轮、钢丝、转轴，并按期给导轮、钢丝、转轴加油，排烟阀开启灵活。</w:t>
      </w:r>
    </w:p>
    <w:p w14:paraId="49C64104">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15. 每月一次检查各送风口百叶窗，送风口百叶位置正确。</w:t>
      </w:r>
    </w:p>
    <w:p w14:paraId="04982F7C">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w:t>
      </w:r>
      <w:r>
        <w:rPr>
          <w:rFonts w:hint="eastAsia" w:ascii="仿宋_GB2312" w:hAnsi="仿宋" w:eastAsia="仿宋_GB2312" w:cs="Times New Roman"/>
          <w:color w:val="auto"/>
          <w:highlight w:val="none"/>
          <w:lang w:val="en-US" w:eastAsia="zh-CN"/>
        </w:rPr>
        <w:t>3</w:t>
      </w:r>
      <w:r>
        <w:rPr>
          <w:rFonts w:hint="default" w:ascii="仿宋_GB2312" w:hAnsi="仿宋" w:eastAsia="仿宋_GB2312" w:cs="Times New Roman"/>
          <w:color w:val="auto"/>
          <w:highlight w:val="none"/>
        </w:rPr>
        <w:t>）应急照明及疏散指示</w:t>
      </w:r>
    </w:p>
    <w:p w14:paraId="10965511">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1.应急灯应每3个月进行一次备用电池亮灯（半小时）保养，延长电池寿命。</w:t>
      </w:r>
    </w:p>
    <w:p w14:paraId="400AF379">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2.每月一次检查及保证出口指示灯处于正常状态。</w:t>
      </w:r>
    </w:p>
    <w:p w14:paraId="1331CFF7">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3.及时对出口指示灯及疏散指示牌进行安装牢固，每月进行一次全面检查。</w:t>
      </w:r>
    </w:p>
    <w:p w14:paraId="619E9656">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4. 每月一次对灯箱外壳及面板进行洁净。</w:t>
      </w:r>
    </w:p>
    <w:p w14:paraId="1EFD70DF">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5.院内应急照明、指示灯、标识等脱落，需24小时之内到场响应解决。</w:t>
      </w:r>
    </w:p>
    <w:p w14:paraId="4A7871FE">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w:t>
      </w:r>
      <w:r>
        <w:rPr>
          <w:rFonts w:hint="eastAsia" w:ascii="仿宋_GB2312" w:hAnsi="仿宋" w:eastAsia="仿宋_GB2312" w:cs="Times New Roman"/>
          <w:color w:val="auto"/>
          <w:highlight w:val="none"/>
          <w:lang w:val="en-US" w:eastAsia="zh-CN"/>
        </w:rPr>
        <w:t>4</w:t>
      </w:r>
      <w:r>
        <w:rPr>
          <w:rFonts w:hint="default" w:ascii="仿宋_GB2312" w:hAnsi="仿宋" w:eastAsia="仿宋_GB2312" w:cs="Times New Roman"/>
          <w:color w:val="auto"/>
          <w:highlight w:val="none"/>
        </w:rPr>
        <w:t>）室外消火栓</w:t>
      </w:r>
    </w:p>
    <w:p w14:paraId="1DF6F153">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每月对全院室外消火栓进行一次全面检查：</w:t>
      </w:r>
    </w:p>
    <w:p w14:paraId="2BD687B5">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1.室外消火栓要求阀门启闭灵活，不漏水。</w:t>
      </w:r>
    </w:p>
    <w:p w14:paraId="0066AACA">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2.检查水流指示器动作灵敏度。</w:t>
      </w:r>
    </w:p>
    <w:p w14:paraId="49A6872C">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3.检查水流指示器接线端子，触点牢固无锈蚀。</w:t>
      </w:r>
    </w:p>
    <w:p w14:paraId="2A9D5C0F">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w:t>
      </w:r>
      <w:r>
        <w:rPr>
          <w:rFonts w:hint="eastAsia" w:ascii="仿宋_GB2312" w:hAnsi="仿宋" w:eastAsia="仿宋_GB2312" w:cs="Times New Roman"/>
          <w:color w:val="auto"/>
          <w:highlight w:val="none"/>
          <w:lang w:val="en-US" w:eastAsia="zh-CN"/>
        </w:rPr>
        <w:t>5</w:t>
      </w:r>
      <w:r>
        <w:rPr>
          <w:rFonts w:hint="default" w:ascii="仿宋_GB2312" w:hAnsi="仿宋" w:eastAsia="仿宋_GB2312" w:cs="Times New Roman"/>
          <w:color w:val="auto"/>
          <w:highlight w:val="none"/>
        </w:rPr>
        <w:t>）室内消火栓</w:t>
      </w:r>
    </w:p>
    <w:p w14:paraId="196A5AE2">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1.每月对全院室内消火栓进行一次全面检查，检查消火栓内配件是否齐全，灭火器完好情况，消火栓门、玻璃有无损坏。</w:t>
      </w:r>
    </w:p>
    <w:p w14:paraId="1437B597">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2.每半个月抽取消火栓总数的5％测试，消火栓报警按钮在消防中心应有正确的报警显示；箱内各元件保持良好，无渗漏现象。</w:t>
      </w:r>
    </w:p>
    <w:p w14:paraId="506ED8C4">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3.每个月检查数量不低于5％的消防水带。查水带有无破损、发霉、发黑，如有要及时更换或处理；自救软管的耐压程度及水阀状态良好。</w:t>
      </w:r>
    </w:p>
    <w:p w14:paraId="33F3B0F6">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4.每半个月对消防水泵进行启动运转试验，并对消防泵进行消火栓按钮联动启泵试验。</w:t>
      </w:r>
    </w:p>
    <w:p w14:paraId="2C2F6AA8">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5.每半个月对系统上所有的控制阀门进行检查，保证控制阀门处于正常工作状态。</w:t>
      </w:r>
    </w:p>
    <w:p w14:paraId="7DE28907">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6.消火栓水管及各闸阀要保持使用良好，水枪、水带接头连接要方便牢固，</w:t>
      </w:r>
    </w:p>
    <w:p w14:paraId="11963CB2">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7.每半年抽取100％的消火栓进行出水检查。</w:t>
      </w:r>
    </w:p>
    <w:p w14:paraId="5FE4E938">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8.每月一次检查接口垫圈要完好无缺，支架牢固灵活，掉漆部位要重新补刷。</w:t>
      </w:r>
    </w:p>
    <w:p w14:paraId="74008596">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9.每月一次检测消防水池、高位水箱内的水位是否满足设计要求。</w:t>
      </w:r>
    </w:p>
    <w:p w14:paraId="796B00A7">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10.对灭火器的检查，要保持压力表指针在绿色区域，零部件和铅封完好。</w:t>
      </w:r>
    </w:p>
    <w:p w14:paraId="211CE0F3">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11.制作“检查标签卡”，并做好检查记录。</w:t>
      </w:r>
    </w:p>
    <w:p w14:paraId="1865A2F0">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w:t>
      </w:r>
      <w:r>
        <w:rPr>
          <w:rFonts w:hint="eastAsia" w:ascii="仿宋_GB2312" w:hAnsi="仿宋" w:eastAsia="仿宋_GB2312" w:cs="Times New Roman"/>
          <w:color w:val="auto"/>
          <w:highlight w:val="none"/>
          <w:lang w:val="en-US" w:eastAsia="zh-CN"/>
        </w:rPr>
        <w:t>6</w:t>
      </w:r>
      <w:r>
        <w:rPr>
          <w:rFonts w:hint="default" w:ascii="仿宋_GB2312" w:hAnsi="仿宋" w:eastAsia="仿宋_GB2312" w:cs="Times New Roman"/>
          <w:color w:val="auto"/>
          <w:highlight w:val="none"/>
        </w:rPr>
        <w:t>）自动喷淋系统</w:t>
      </w:r>
    </w:p>
    <w:p w14:paraId="2AECF28E">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1.每季度检查一次各楼层喷淋末端压力表指示，按25％比例测试信号阀关闭信号指示，按30％比例进行放水试验。</w:t>
      </w:r>
    </w:p>
    <w:p w14:paraId="7056EA6F">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2.每季度对湿式报警阀、雨淋阀进行放水试验，能启动喷淋泵、雨淋泵，水力警铃响亮。</w:t>
      </w:r>
    </w:p>
    <w:p w14:paraId="0197347F">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3.每季度检查喷淋头一次，表面无油灰，无渗漏。</w:t>
      </w:r>
    </w:p>
    <w:p w14:paraId="432F9B6E">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4.每季度一次对消防喷淋管网进行防锈处理（刷防锈漆）。</w:t>
      </w:r>
    </w:p>
    <w:p w14:paraId="6DC62A7B">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5.每半个月对喷淋水泵进行启动运转试验1次，确保处于无故障状态。</w:t>
      </w:r>
    </w:p>
    <w:p w14:paraId="48F96257">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w:t>
      </w:r>
      <w:r>
        <w:rPr>
          <w:rFonts w:hint="eastAsia" w:ascii="仿宋_GB2312" w:hAnsi="仿宋" w:eastAsia="仿宋_GB2312" w:cs="Times New Roman"/>
          <w:color w:val="auto"/>
          <w:highlight w:val="none"/>
          <w:lang w:val="en-US" w:eastAsia="zh-CN"/>
        </w:rPr>
        <w:t>7</w:t>
      </w:r>
      <w:r>
        <w:rPr>
          <w:rFonts w:hint="default" w:ascii="仿宋_GB2312" w:hAnsi="仿宋" w:eastAsia="仿宋_GB2312" w:cs="Times New Roman"/>
          <w:color w:val="auto"/>
          <w:highlight w:val="none"/>
        </w:rPr>
        <w:t>）防火卷帘（二级保养）</w:t>
      </w:r>
    </w:p>
    <w:p w14:paraId="54C91211">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1.每半个月启动一次防火卷帘，确保防火卷帘升降平稳，无阻滞。</w:t>
      </w:r>
    </w:p>
    <w:p w14:paraId="2B8D86E4">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2.每半个月检查控制箱内各电器触点及各接线端子，保证无松动，无锈蚀。</w:t>
      </w:r>
    </w:p>
    <w:p w14:paraId="09FD4A65">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3.每半年检查一次机械部分，包括齿轮、锋条。除锈加润滑油保护。</w:t>
      </w:r>
    </w:p>
    <w:p w14:paraId="19BE2302">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w:t>
      </w:r>
      <w:r>
        <w:rPr>
          <w:rFonts w:hint="eastAsia" w:ascii="仿宋_GB2312" w:hAnsi="仿宋" w:eastAsia="仿宋_GB2312" w:cs="Times New Roman"/>
          <w:color w:val="auto"/>
          <w:highlight w:val="none"/>
          <w:lang w:val="en-US" w:eastAsia="zh-CN"/>
        </w:rPr>
        <w:t>8</w:t>
      </w:r>
      <w:r>
        <w:rPr>
          <w:rFonts w:hint="default" w:ascii="仿宋_GB2312" w:hAnsi="仿宋" w:eastAsia="仿宋_GB2312" w:cs="Times New Roman"/>
          <w:color w:val="auto"/>
          <w:highlight w:val="none"/>
        </w:rPr>
        <w:t>）消防电话通讯系统</w:t>
      </w:r>
    </w:p>
    <w:p w14:paraId="23FE3F97">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1.维修保养工作内容</w:t>
      </w:r>
    </w:p>
    <w:p w14:paraId="57C39028">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（1）检查消防专用电话或插孔是否完好；</w:t>
      </w:r>
    </w:p>
    <w:p w14:paraId="546A8FF7">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（2）定期试验每个消防专用电话或插孔的通讯是否畅通，语音是否清晰、响亮，消防中心电话主机显示通话部位是否正确。</w:t>
      </w:r>
    </w:p>
    <w:p w14:paraId="7EA98277">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2.维修保养工作标准</w:t>
      </w:r>
    </w:p>
    <w:p w14:paraId="3B9A90C9">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（1）消防专用电话或插孔外观完好、清洁；</w:t>
      </w:r>
    </w:p>
    <w:p w14:paraId="2943A2CE">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（2）消防专用电话通讯畅通，语音清晰、响亮，消防中心电话主机显示通话部位正确。</w:t>
      </w:r>
    </w:p>
    <w:p w14:paraId="6885A473">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3.维修保养工作计划</w:t>
      </w:r>
    </w:p>
    <w:p w14:paraId="48AA9F56">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（1）每周检查消防专用电话或插孔是否完好；</w:t>
      </w:r>
    </w:p>
    <w:p w14:paraId="1E8D33B2">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（2）每季定期试验每个电话或插孔的通讯是否畅通，语音是否清晰、响亮，消防中心电话主机显示部位是否正确。</w:t>
      </w:r>
    </w:p>
    <w:p w14:paraId="15291C50">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w:t>
      </w:r>
      <w:r>
        <w:rPr>
          <w:rFonts w:hint="eastAsia" w:ascii="仿宋_GB2312" w:hAnsi="仿宋" w:eastAsia="仿宋_GB2312" w:cs="Times New Roman"/>
          <w:color w:val="auto"/>
          <w:highlight w:val="none"/>
          <w:lang w:val="en-US" w:eastAsia="zh-CN"/>
        </w:rPr>
        <w:t>9</w:t>
      </w:r>
      <w:r>
        <w:rPr>
          <w:rFonts w:hint="default" w:ascii="仿宋_GB2312" w:hAnsi="仿宋" w:eastAsia="仿宋_GB2312" w:cs="Times New Roman"/>
          <w:color w:val="auto"/>
          <w:highlight w:val="none"/>
        </w:rPr>
        <w:t>）消防广播系统</w:t>
      </w:r>
    </w:p>
    <w:p w14:paraId="5A3505D5">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每月进行一次检查维修保养：</w:t>
      </w:r>
    </w:p>
    <w:p w14:paraId="172CAD3A">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1.检查各切换器、继电器的接线和触点，成件完整、牢固、接触良好，切换器灵活、可靠。</w:t>
      </w:r>
    </w:p>
    <w:p w14:paraId="51694208">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2.调节音量控制器的音量变化处于正常状态。</w:t>
      </w:r>
    </w:p>
    <w:p w14:paraId="66076868">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3.话筒及话筒放大器音量，音质正常。</w:t>
      </w:r>
    </w:p>
    <w:p w14:paraId="04C86349">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4.磁带机或CD机的运转和音质正常。</w:t>
      </w:r>
    </w:p>
    <w:p w14:paraId="48C256F0">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5.各楼层呼叫控制器的开关工作正常，要求灵活可靠</w:t>
      </w:r>
    </w:p>
    <w:p w14:paraId="0A35AEC8">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w:t>
      </w:r>
      <w:r>
        <w:rPr>
          <w:rFonts w:hint="eastAsia" w:ascii="仿宋_GB2312" w:hAnsi="仿宋" w:eastAsia="仿宋_GB2312" w:cs="Times New Roman"/>
          <w:color w:val="auto"/>
          <w:highlight w:val="none"/>
          <w:lang w:val="en-US" w:eastAsia="zh-CN"/>
        </w:rPr>
        <w:t>10</w:t>
      </w:r>
      <w:r>
        <w:rPr>
          <w:rFonts w:hint="default" w:ascii="仿宋_GB2312" w:hAnsi="仿宋" w:eastAsia="仿宋_GB2312" w:cs="Times New Roman"/>
          <w:color w:val="auto"/>
          <w:highlight w:val="none"/>
        </w:rPr>
        <w:t>）消防联动系统</w:t>
      </w:r>
    </w:p>
    <w:p w14:paraId="1CBF3F31">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1.维修保养工作内容</w:t>
      </w:r>
    </w:p>
    <w:p w14:paraId="0A20DEB8">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（1）检查试验消防正压送风机（排烟风机）及正压送风阀（排烟阀）的联动功能是否正常；</w:t>
      </w:r>
    </w:p>
    <w:p w14:paraId="688CCCDF">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（2）测试空调通风系统、排风系统的防火阀功能及联动讯号功能是否正常；</w:t>
      </w:r>
    </w:p>
    <w:p w14:paraId="715B026E">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（3）测试消防电梯的人工迫降的信号功能是否正常；</w:t>
      </w:r>
    </w:p>
    <w:p w14:paraId="0A540A04">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（4）测试非消防电梯迫降首层的信号和联锁信号功能是否正常；</w:t>
      </w:r>
    </w:p>
    <w:p w14:paraId="275219C6">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（5）测试以上各联动机构消防中心相应控制屏的讯号是否正常；</w:t>
      </w:r>
    </w:p>
    <w:p w14:paraId="7F0515BE">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（6）测试楼层非消防电源自动切断功能是否正常；</w:t>
      </w:r>
    </w:p>
    <w:p w14:paraId="3ACFA46D">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（7）检查试验联动警铃的功能是否正常；</w:t>
      </w:r>
    </w:p>
    <w:p w14:paraId="1569AF28">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（8）检查试验联动广播的功能是否正常；</w:t>
      </w:r>
    </w:p>
    <w:p w14:paraId="04F5584D">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（9）测试正压送风机（排烟风机）现场和远程启停控制功能是否正常；</w:t>
      </w:r>
    </w:p>
    <w:p w14:paraId="05AEABB1">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（10）对正压送风机（排烟风机）、正压送风阀（排烟阀）进行保养，对转动部位加润滑油并调整风机皮带松紧度等。</w:t>
      </w:r>
    </w:p>
    <w:p w14:paraId="2D7CD9DA">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2.维修保养工作标准</w:t>
      </w:r>
    </w:p>
    <w:p w14:paraId="6EB307A5">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（1）风机风阀联动功能正常，动作准确；</w:t>
      </w:r>
    </w:p>
    <w:p w14:paraId="3C660B8B">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（2）防火阀阀体和易熔片完好，控制及反馈信号通讯畅通正常；</w:t>
      </w:r>
    </w:p>
    <w:p w14:paraId="18F8DC60">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（3）消防电梯人工迫降功能正常；</w:t>
      </w:r>
    </w:p>
    <w:p w14:paraId="52272009">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（4）联动试验时有迫降电梯的信号输出，电压符合要求；</w:t>
      </w:r>
    </w:p>
    <w:p w14:paraId="0A7D1690">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（5）各联动设备与消防中心控制屏或联动柜的功能正常；</w:t>
      </w:r>
    </w:p>
    <w:p w14:paraId="7C7150DE">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（6）联动楼层非消防电源自动切断功能正常；</w:t>
      </w:r>
    </w:p>
    <w:p w14:paraId="196E97BD">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（7）联动警铃的功能正常；</w:t>
      </w:r>
    </w:p>
    <w:p w14:paraId="614FCF45">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（8）联动广播的功能正常；</w:t>
      </w:r>
    </w:p>
    <w:p w14:paraId="6CC23A02">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（9）现场和远程启、停风机的控制功能正常；</w:t>
      </w:r>
    </w:p>
    <w:p w14:paraId="1B593DB1">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（10）风机运行平稳，噪声低，风量、风压达到要求，风阀开、关灵活，密封性好，风机皮带松紧度适中。</w:t>
      </w:r>
    </w:p>
    <w:p w14:paraId="07946FC3">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3.维修保养工作计划</w:t>
      </w:r>
    </w:p>
    <w:p w14:paraId="4DD91133">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（1）每半个月检查试验消防正压送风机（排烟风机）及正压送风阀（排烟阀）的联动功能是否正常；</w:t>
      </w:r>
    </w:p>
    <w:p w14:paraId="61CA9E41">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（2）每季测试空调通风系统、排风系统的防火阀功能及联动讯号功能是否正常；</w:t>
      </w:r>
    </w:p>
    <w:p w14:paraId="0222825D">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（3）每季测试消防电梯的人工迫降的信号功能是否正常；</w:t>
      </w:r>
    </w:p>
    <w:p w14:paraId="3B800902">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（4）每季测试非消防电梯迫降首层的信号和联锁信号功能是否正常；</w:t>
      </w:r>
    </w:p>
    <w:p w14:paraId="76866EE1">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（5）每季测试以上各联动机构消防中心相应控制屏的讯号是否正常；</w:t>
      </w:r>
    </w:p>
    <w:p w14:paraId="03A14517">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（6）每季测试楼层非消防电源自动切断功能是否正常；</w:t>
      </w:r>
    </w:p>
    <w:p w14:paraId="30B78F65">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（7）每季检查试验联动警铃的功能是否正常；</w:t>
      </w:r>
    </w:p>
    <w:p w14:paraId="6F52C815">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（8）每季检查试验联动广播的功能是否正常；</w:t>
      </w:r>
    </w:p>
    <w:p w14:paraId="5EC662DD">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（9）每半个月测试正压送风机（排烟风机）就地和远程启停控制功能是否正常；</w:t>
      </w:r>
    </w:p>
    <w:p w14:paraId="2D36A827">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（10）每季定期对正压送风机（排烟风机）、正压送风阀（排烟阀）进行保养，对转动部位加润滑油并调整皮带松紧度等；</w:t>
      </w:r>
    </w:p>
    <w:p w14:paraId="3F68E4B4">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w:t>
      </w:r>
      <w:r>
        <w:rPr>
          <w:rFonts w:hint="eastAsia" w:ascii="仿宋_GB2312" w:hAnsi="仿宋" w:eastAsia="仿宋_GB2312" w:cs="Times New Roman"/>
          <w:color w:val="auto"/>
          <w:highlight w:val="none"/>
          <w:lang w:val="en-US" w:eastAsia="zh-CN"/>
        </w:rPr>
        <w:t>11</w:t>
      </w:r>
      <w:r>
        <w:rPr>
          <w:rFonts w:hint="default" w:ascii="仿宋_GB2312" w:hAnsi="仿宋" w:eastAsia="仿宋_GB2312" w:cs="Times New Roman"/>
          <w:color w:val="auto"/>
          <w:highlight w:val="none"/>
        </w:rPr>
        <w:t>）定期开展消防培训工作与内容：</w:t>
      </w:r>
    </w:p>
    <w:p w14:paraId="2B7DBCAE">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每个季度配合保卫科组织相关人员的消防培训演练。</w:t>
      </w:r>
    </w:p>
    <w:p w14:paraId="016E6E38">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培训内容：</w:t>
      </w:r>
    </w:p>
    <w:p w14:paraId="6CB70A9A">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1.消防基础知识培训；</w:t>
      </w:r>
    </w:p>
    <w:p w14:paraId="7A0A2221">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2.熟练掌握灭火器的使用方法及常规的相关灭火方法;</w:t>
      </w:r>
    </w:p>
    <w:p w14:paraId="536723EE">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3.开展对相关人员进行消防设备常规的使用方法及操作的培训；</w:t>
      </w:r>
    </w:p>
    <w:p w14:paraId="506DCF9B">
      <w:pPr>
        <w:pStyle w:val="7"/>
        <w:spacing w:line="360" w:lineRule="auto"/>
        <w:jc w:val="both"/>
        <w:rPr>
          <w:rFonts w:hint="default" w:ascii="仿宋_GB2312" w:hAnsi="仿宋" w:eastAsia="仿宋_GB2312" w:cs="Times New Roman"/>
          <w:color w:val="auto"/>
          <w:highlight w:val="none"/>
        </w:rPr>
      </w:pPr>
      <w:r>
        <w:rPr>
          <w:rFonts w:hint="default" w:ascii="仿宋_GB2312" w:hAnsi="仿宋" w:eastAsia="仿宋_GB2312" w:cs="Times New Roman"/>
          <w:color w:val="auto"/>
          <w:highlight w:val="none"/>
        </w:rPr>
        <w:t>4.开展定期的消防应急演练。</w:t>
      </w:r>
    </w:p>
    <w:p w14:paraId="31E61060">
      <w:pPr>
        <w:spacing w:line="360" w:lineRule="auto"/>
        <w:ind w:firstLine="400" w:firstLineChars="200"/>
        <w:rPr>
          <w:rFonts w:ascii="仿宋_GB2312" w:hAnsi="仿宋" w:eastAsia="仿宋_GB2312" w:cs="Times New Roman"/>
          <w:color w:val="auto"/>
          <w:sz w:val="20"/>
          <w:szCs w:val="20"/>
          <w:highlight w:val="none"/>
        </w:rPr>
      </w:pPr>
      <w:r>
        <w:rPr>
          <w:rFonts w:hint="eastAsia" w:ascii="仿宋_GB2312" w:hAnsi="仿宋" w:eastAsia="仿宋_GB2312"/>
          <w:color w:val="auto"/>
          <w:sz w:val="20"/>
          <w:szCs w:val="20"/>
          <w:highlight w:val="none"/>
          <w:lang w:eastAsia="zh-CN"/>
        </w:rPr>
        <w:t>（</w:t>
      </w:r>
      <w:r>
        <w:rPr>
          <w:rFonts w:hint="eastAsia" w:ascii="仿宋_GB2312" w:hAnsi="仿宋" w:eastAsia="仿宋_GB2312"/>
          <w:color w:val="auto"/>
          <w:sz w:val="20"/>
          <w:szCs w:val="20"/>
          <w:highlight w:val="none"/>
          <w:lang w:val="en-US" w:eastAsia="zh-CN"/>
        </w:rPr>
        <w:t>二</w:t>
      </w:r>
      <w:r>
        <w:rPr>
          <w:rFonts w:hint="eastAsia" w:ascii="仿宋_GB2312" w:hAnsi="仿宋" w:eastAsia="仿宋_GB2312"/>
          <w:color w:val="auto"/>
          <w:sz w:val="20"/>
          <w:szCs w:val="20"/>
          <w:highlight w:val="none"/>
          <w:lang w:eastAsia="zh-CN"/>
        </w:rPr>
        <w:t>）</w:t>
      </w:r>
      <w:r>
        <w:rPr>
          <w:rFonts w:ascii="仿宋_GB2312" w:hAnsi="仿宋" w:eastAsia="仿宋_GB2312" w:cs="Times New Roman"/>
          <w:color w:val="auto"/>
          <w:sz w:val="20"/>
          <w:szCs w:val="20"/>
          <w:highlight w:val="none"/>
        </w:rPr>
        <w:t>技术要求：需严格遵循《建筑消防设施的维护管理》（GB 25201）、《建筑消防设施检测技术规程》（XF 503）、《消防控制室通用技术要求》（GB 25506）</w:t>
      </w:r>
      <w:r>
        <w:rPr>
          <w:rFonts w:hint="eastAsia" w:ascii="仿宋_GB2312" w:hAnsi="仿宋" w:eastAsia="仿宋_GB2312" w:cs="Times New Roman"/>
          <w:color w:val="auto"/>
          <w:sz w:val="20"/>
          <w:szCs w:val="20"/>
          <w:highlight w:val="none"/>
          <w:lang w:eastAsia="zh-CN"/>
        </w:rPr>
        <w:t>、《建筑防烟排烟系统技术标准》GB51251、《自动喷水灭火系统施工及验收规范》GB50261、《消防给水及消火栓系统技术规范》GB50974、《火灾自动报警系统施工及验收标准》GB50166、《消防应急照明和疏散指标系统技术标准》GB51309</w:t>
      </w:r>
      <w:r>
        <w:rPr>
          <w:rFonts w:hint="eastAsia" w:ascii="仿宋_GB2312" w:hAnsi="仿宋" w:eastAsia="仿宋_GB2312" w:cs="Times New Roman"/>
          <w:color w:val="auto"/>
          <w:sz w:val="20"/>
          <w:szCs w:val="20"/>
          <w:highlight w:val="none"/>
          <w:lang w:val="en-US" w:eastAsia="zh-CN"/>
        </w:rPr>
        <w:t>等最新版本</w:t>
      </w:r>
      <w:r>
        <w:rPr>
          <w:rFonts w:ascii="仿宋_GB2312" w:hAnsi="仿宋" w:eastAsia="仿宋_GB2312" w:cs="Times New Roman"/>
          <w:color w:val="auto"/>
          <w:sz w:val="20"/>
          <w:szCs w:val="20"/>
          <w:highlight w:val="none"/>
        </w:rPr>
        <w:t>及国家、陕西省、西安市现行消防相关标准规范，保证消防设施运转正常，通过消防部门日常检查及消防技术服务机构消防年度检测。</w:t>
      </w:r>
    </w:p>
    <w:p w14:paraId="57CE0E47">
      <w:pPr>
        <w:spacing w:line="360" w:lineRule="auto"/>
        <w:ind w:firstLine="400" w:firstLineChars="200"/>
        <w:rPr>
          <w:rFonts w:hint="eastAsia" w:ascii="仿宋_GB2312" w:hAnsi="仿宋" w:eastAsia="仿宋_GB2312" w:cs="Times New Roman"/>
          <w:color w:val="auto"/>
          <w:sz w:val="20"/>
          <w:szCs w:val="20"/>
          <w:highlight w:val="none"/>
          <w:lang w:eastAsia="zh-CN"/>
        </w:rPr>
      </w:pPr>
      <w:r>
        <w:rPr>
          <w:rFonts w:hint="eastAsia" w:ascii="仿宋_GB2312" w:hAnsi="仿宋" w:eastAsia="仿宋_GB2312" w:cs="Times New Roman"/>
          <w:color w:val="auto"/>
          <w:sz w:val="20"/>
          <w:szCs w:val="20"/>
          <w:highlight w:val="none"/>
          <w:lang w:eastAsia="zh-CN"/>
        </w:rPr>
        <w:t>（</w:t>
      </w:r>
      <w:r>
        <w:rPr>
          <w:rFonts w:hint="eastAsia" w:ascii="仿宋_GB2312" w:hAnsi="仿宋" w:eastAsia="仿宋_GB2312" w:cs="Times New Roman"/>
          <w:color w:val="auto"/>
          <w:sz w:val="20"/>
          <w:szCs w:val="20"/>
          <w:highlight w:val="none"/>
          <w:lang w:val="en-US" w:eastAsia="zh-CN"/>
        </w:rPr>
        <w:t>三</w:t>
      </w:r>
      <w:r>
        <w:rPr>
          <w:rFonts w:hint="eastAsia" w:ascii="仿宋_GB2312" w:hAnsi="仿宋" w:eastAsia="仿宋_GB2312" w:cs="Times New Roman"/>
          <w:color w:val="auto"/>
          <w:sz w:val="20"/>
          <w:szCs w:val="20"/>
          <w:highlight w:val="none"/>
          <w:lang w:eastAsia="zh-CN"/>
        </w:rPr>
        <w:t>）其他质量要求：1.严格按照国家消防规范、规程和双方确认的《消防系统维保服务方案》做好消防系统的维修保养工作。</w:t>
      </w:r>
    </w:p>
    <w:p w14:paraId="2E790E47">
      <w:pPr>
        <w:spacing w:line="360" w:lineRule="auto"/>
        <w:ind w:firstLine="400" w:firstLineChars="200"/>
        <w:rPr>
          <w:rFonts w:hint="eastAsia" w:ascii="仿宋_GB2312" w:hAnsi="仿宋" w:eastAsia="仿宋_GB2312" w:cs="Times New Roman"/>
          <w:color w:val="auto"/>
          <w:sz w:val="20"/>
          <w:szCs w:val="20"/>
          <w:highlight w:val="none"/>
          <w:lang w:eastAsia="zh-CN"/>
        </w:rPr>
      </w:pPr>
      <w:r>
        <w:rPr>
          <w:rFonts w:hint="eastAsia" w:ascii="仿宋_GB2312" w:hAnsi="仿宋" w:eastAsia="仿宋_GB2312" w:cs="Times New Roman"/>
          <w:color w:val="auto"/>
          <w:sz w:val="20"/>
          <w:szCs w:val="20"/>
          <w:highlight w:val="none"/>
          <w:lang w:eastAsia="zh-CN"/>
        </w:rPr>
        <w:t>2.当我方消防设施设备出现故障时，供应商应按故障类型制定合理维修方案通报我方，在得到我方同意后进行维修施工，供应商应在施工过程中维持其它设备正常运行。</w:t>
      </w:r>
    </w:p>
    <w:p w14:paraId="23DCB477">
      <w:pPr>
        <w:spacing w:line="360" w:lineRule="auto"/>
        <w:ind w:firstLine="400" w:firstLineChars="200"/>
        <w:rPr>
          <w:rFonts w:hint="eastAsia" w:ascii="仿宋_GB2312" w:hAnsi="仿宋" w:eastAsia="仿宋_GB2312" w:cs="Times New Roman"/>
          <w:color w:val="auto"/>
          <w:sz w:val="20"/>
          <w:szCs w:val="20"/>
          <w:highlight w:val="none"/>
          <w:lang w:eastAsia="zh-CN"/>
        </w:rPr>
      </w:pPr>
      <w:r>
        <w:rPr>
          <w:rFonts w:hint="eastAsia" w:ascii="仿宋_GB2312" w:hAnsi="仿宋" w:eastAsia="仿宋_GB2312" w:cs="Times New Roman"/>
          <w:color w:val="auto"/>
          <w:sz w:val="20"/>
          <w:szCs w:val="20"/>
          <w:highlight w:val="none"/>
          <w:lang w:eastAsia="zh-CN"/>
        </w:rPr>
        <w:t>3.每次按计划维护保养设备前，就工作时间、工作内容与我方商榷，如检测工作涉及到我方相关部门时，应事先通报我方，我方应予配合协调，保证供应商顺利实施工作计划。</w:t>
      </w:r>
    </w:p>
    <w:p w14:paraId="59641293">
      <w:pPr>
        <w:spacing w:line="360" w:lineRule="auto"/>
        <w:ind w:firstLine="400" w:firstLineChars="200"/>
        <w:rPr>
          <w:rFonts w:hint="eastAsia" w:ascii="仿宋_GB2312" w:hAnsi="仿宋" w:eastAsia="仿宋_GB2312" w:cs="Times New Roman"/>
          <w:color w:val="auto"/>
          <w:sz w:val="20"/>
          <w:szCs w:val="20"/>
          <w:highlight w:val="none"/>
          <w:lang w:eastAsia="zh-CN"/>
        </w:rPr>
      </w:pPr>
      <w:r>
        <w:rPr>
          <w:rFonts w:hint="eastAsia" w:ascii="仿宋_GB2312" w:hAnsi="仿宋" w:eastAsia="仿宋_GB2312" w:cs="Times New Roman"/>
          <w:color w:val="auto"/>
          <w:sz w:val="20"/>
          <w:szCs w:val="20"/>
          <w:highlight w:val="none"/>
          <w:lang w:eastAsia="zh-CN"/>
        </w:rPr>
        <w:t>4.除正常系统的维护、保养外，当系统、消防设备出现故障需要维修时，我方可随时通过电话或传真向供应商报修，供应商维护工程师及时赶到现场，进行抢修工作。对一般性的故障应及时给予排除；对情况复杂的，如主机程序错乱、需更换设备等，提出方案与我方商榷，然后按照方案实施。</w:t>
      </w:r>
    </w:p>
    <w:p w14:paraId="5297125A">
      <w:pPr>
        <w:spacing w:line="360" w:lineRule="auto"/>
        <w:ind w:firstLine="400" w:firstLineChars="200"/>
        <w:rPr>
          <w:rFonts w:hint="eastAsia" w:ascii="仿宋_GB2312" w:hAnsi="仿宋" w:eastAsia="仿宋_GB2312" w:cs="Times New Roman"/>
          <w:color w:val="auto"/>
          <w:sz w:val="20"/>
          <w:szCs w:val="20"/>
          <w:highlight w:val="none"/>
          <w:lang w:eastAsia="zh-CN"/>
        </w:rPr>
      </w:pPr>
      <w:r>
        <w:rPr>
          <w:rFonts w:hint="eastAsia" w:ascii="仿宋_GB2312" w:hAnsi="仿宋" w:eastAsia="仿宋_GB2312" w:cs="Times New Roman"/>
          <w:color w:val="auto"/>
          <w:sz w:val="20"/>
          <w:szCs w:val="20"/>
          <w:highlight w:val="none"/>
          <w:lang w:eastAsia="zh-CN"/>
        </w:rPr>
        <w:t>5.供应商在合同期内，积极给予我方维保服务，保障消防系统设备正常运行。工作期间必须严格遵守我方的管理制度和要求。</w:t>
      </w:r>
    </w:p>
    <w:p w14:paraId="189A0FDA">
      <w:pPr>
        <w:spacing w:line="360" w:lineRule="auto"/>
        <w:ind w:firstLine="400" w:firstLineChars="200"/>
        <w:rPr>
          <w:rFonts w:hint="eastAsia" w:ascii="仿宋_GB2312" w:hAnsi="仿宋" w:eastAsia="仿宋_GB2312" w:cs="Times New Roman"/>
          <w:color w:val="auto"/>
          <w:sz w:val="20"/>
          <w:szCs w:val="20"/>
          <w:highlight w:val="none"/>
          <w:lang w:eastAsia="zh-CN"/>
        </w:rPr>
      </w:pPr>
      <w:r>
        <w:rPr>
          <w:rFonts w:hint="eastAsia" w:ascii="仿宋_GB2312" w:hAnsi="仿宋" w:eastAsia="仿宋_GB2312" w:cs="Times New Roman"/>
          <w:color w:val="auto"/>
          <w:sz w:val="20"/>
          <w:szCs w:val="20"/>
          <w:highlight w:val="none"/>
          <w:lang w:eastAsia="zh-CN"/>
        </w:rPr>
        <w:t>6.维修保养过程中，更换的设备配件必须是合格产品。</w:t>
      </w:r>
    </w:p>
    <w:p w14:paraId="21E486EB">
      <w:pPr>
        <w:spacing w:line="360" w:lineRule="auto"/>
        <w:ind w:firstLine="400" w:firstLineChars="200"/>
        <w:rPr>
          <w:rFonts w:hint="eastAsia" w:ascii="仿宋_GB2312" w:hAnsi="仿宋" w:eastAsia="仿宋_GB2312" w:cs="Times New Roman"/>
          <w:color w:val="auto"/>
          <w:sz w:val="20"/>
          <w:szCs w:val="20"/>
          <w:highlight w:val="none"/>
          <w:lang w:eastAsia="zh-CN"/>
        </w:rPr>
      </w:pPr>
      <w:r>
        <w:rPr>
          <w:rFonts w:hint="eastAsia" w:ascii="仿宋_GB2312" w:hAnsi="仿宋" w:eastAsia="仿宋_GB2312" w:cs="Times New Roman"/>
          <w:color w:val="auto"/>
          <w:sz w:val="20"/>
          <w:szCs w:val="20"/>
          <w:highlight w:val="none"/>
          <w:lang w:eastAsia="zh-CN"/>
        </w:rPr>
        <w:t>7.供应商维保人员在实施维保工作中，因操作不当导致事故，供应商应承担全部责任。</w:t>
      </w:r>
    </w:p>
    <w:p w14:paraId="0ABE0120">
      <w:pPr>
        <w:spacing w:line="360" w:lineRule="auto"/>
        <w:ind w:firstLine="400" w:firstLineChars="200"/>
        <w:rPr>
          <w:rFonts w:hint="eastAsia" w:ascii="仿宋_GB2312" w:hAnsi="仿宋" w:eastAsia="仿宋_GB2312" w:cs="Times New Roman"/>
          <w:color w:val="auto"/>
          <w:sz w:val="20"/>
          <w:szCs w:val="20"/>
          <w:highlight w:val="none"/>
          <w:lang w:eastAsia="zh-CN"/>
        </w:rPr>
      </w:pPr>
      <w:r>
        <w:rPr>
          <w:rFonts w:hint="eastAsia" w:ascii="仿宋_GB2312" w:hAnsi="仿宋" w:eastAsia="仿宋_GB2312" w:cs="Times New Roman"/>
          <w:color w:val="auto"/>
          <w:sz w:val="20"/>
          <w:szCs w:val="20"/>
          <w:highlight w:val="none"/>
          <w:lang w:eastAsia="zh-CN"/>
        </w:rPr>
        <w:t>8.供应商维保工作人员须遵守我方电气的管理制度，听从我方有关人员的正确指挥，严格按照操作规程作业，确保施工安全，供应商工作人员人身安全保险由供应商自理。</w:t>
      </w:r>
    </w:p>
    <w:p w14:paraId="10ACE7AA">
      <w:pPr>
        <w:spacing w:line="360" w:lineRule="auto"/>
        <w:ind w:firstLine="400" w:firstLineChars="200"/>
        <w:rPr>
          <w:rFonts w:hint="eastAsia" w:ascii="仿宋_GB2312" w:hAnsi="仿宋" w:eastAsia="仿宋_GB2312" w:cs="Times New Roman"/>
          <w:color w:val="auto"/>
          <w:sz w:val="20"/>
          <w:szCs w:val="20"/>
          <w:highlight w:val="none"/>
          <w:lang w:eastAsia="zh-CN"/>
        </w:rPr>
      </w:pPr>
      <w:r>
        <w:rPr>
          <w:rFonts w:hint="eastAsia" w:ascii="仿宋_GB2312" w:hAnsi="仿宋" w:eastAsia="仿宋_GB2312" w:cs="Times New Roman"/>
          <w:color w:val="auto"/>
          <w:sz w:val="20"/>
          <w:szCs w:val="20"/>
          <w:highlight w:val="none"/>
          <w:lang w:eastAsia="zh-CN"/>
        </w:rPr>
        <w:t>9.当供应商检测、调试或维修保养消防系统将可能影响到我方工作人员的日常生产办公时，须提前报请我方批准后方可进行。</w:t>
      </w:r>
    </w:p>
    <w:p w14:paraId="08BCED31">
      <w:pPr>
        <w:spacing w:line="360" w:lineRule="auto"/>
        <w:ind w:firstLine="400" w:firstLineChars="200"/>
        <w:rPr>
          <w:rFonts w:hint="eastAsia" w:ascii="仿宋_GB2312" w:hAnsi="仿宋" w:eastAsia="仿宋_GB2312" w:cs="Times New Roman"/>
          <w:color w:val="auto"/>
          <w:sz w:val="20"/>
          <w:szCs w:val="20"/>
          <w:highlight w:val="none"/>
          <w:lang w:eastAsia="zh-CN"/>
        </w:rPr>
      </w:pPr>
      <w:r>
        <w:rPr>
          <w:rFonts w:hint="eastAsia" w:ascii="仿宋_GB2312" w:hAnsi="仿宋" w:eastAsia="仿宋_GB2312" w:cs="Times New Roman"/>
          <w:color w:val="auto"/>
          <w:sz w:val="20"/>
          <w:szCs w:val="20"/>
          <w:highlight w:val="none"/>
          <w:lang w:eastAsia="zh-CN"/>
        </w:rPr>
        <w:t>10.供应商保证消防系统原设计所有功能正常，若因供应商维保不到位或维保过失，造成事故的，由供应商负责，其他原因造成事故的，由消防部门进行裁定，由责任方负责。</w:t>
      </w:r>
    </w:p>
    <w:p w14:paraId="3082EA7B">
      <w:pPr>
        <w:spacing w:line="360" w:lineRule="auto"/>
        <w:ind w:firstLine="400" w:firstLineChars="200"/>
        <w:rPr>
          <w:rFonts w:hint="eastAsia" w:ascii="仿宋_GB2312" w:hAnsi="仿宋" w:eastAsia="仿宋_GB2312" w:cs="Times New Roman"/>
          <w:color w:val="auto"/>
          <w:sz w:val="20"/>
          <w:szCs w:val="20"/>
          <w:highlight w:val="none"/>
          <w:lang w:eastAsia="zh-CN"/>
        </w:rPr>
      </w:pPr>
      <w:r>
        <w:rPr>
          <w:rFonts w:hint="eastAsia" w:ascii="仿宋_GB2312" w:hAnsi="仿宋" w:eastAsia="仿宋_GB2312" w:cs="Times New Roman"/>
          <w:color w:val="auto"/>
          <w:sz w:val="20"/>
          <w:szCs w:val="20"/>
          <w:highlight w:val="none"/>
          <w:lang w:eastAsia="zh-CN"/>
        </w:rPr>
        <w:t>11.供应商将无条件向我方提供力所能及的消防技术支持服务。</w:t>
      </w:r>
    </w:p>
    <w:p w14:paraId="6A9ADEA6">
      <w:pPr>
        <w:spacing w:line="360" w:lineRule="auto"/>
        <w:ind w:firstLine="400" w:firstLineChars="200"/>
        <w:rPr>
          <w:rFonts w:hint="eastAsia" w:ascii="仿宋_GB2312" w:hAnsi="仿宋" w:eastAsia="仿宋_GB2312" w:cs="Times New Roman"/>
          <w:color w:val="auto"/>
          <w:sz w:val="20"/>
          <w:szCs w:val="20"/>
          <w:highlight w:val="none"/>
          <w:lang w:eastAsia="zh-CN"/>
        </w:rPr>
      </w:pPr>
      <w:r>
        <w:rPr>
          <w:rFonts w:hint="eastAsia" w:ascii="仿宋_GB2312" w:hAnsi="仿宋" w:eastAsia="仿宋_GB2312" w:cs="Times New Roman"/>
          <w:color w:val="auto"/>
          <w:sz w:val="20"/>
          <w:szCs w:val="20"/>
          <w:highlight w:val="none"/>
          <w:lang w:eastAsia="zh-CN"/>
        </w:rPr>
        <w:t>12.供应商在提供服务时因管理不当或未尽义务导致甲方或第三方人身损害或财产损失的，应承担全部责任和费用。</w:t>
      </w:r>
    </w:p>
    <w:p w14:paraId="09238C96">
      <w:pPr>
        <w:numPr>
          <w:ilvl w:val="0"/>
          <w:numId w:val="1"/>
        </w:numPr>
        <w:spacing w:line="360" w:lineRule="auto"/>
        <w:ind w:firstLine="0"/>
        <w:rPr>
          <w:rFonts w:ascii="仿宋_GB2312" w:hAnsi="仿宋" w:eastAsia="仿宋_GB2312" w:cs="仿宋"/>
          <w:b/>
          <w:bCs/>
          <w:sz w:val="20"/>
          <w:szCs w:val="20"/>
          <w:highlight w:val="none"/>
        </w:rPr>
      </w:pPr>
      <w:r>
        <w:rPr>
          <w:rFonts w:hint="eastAsia" w:ascii="仿宋_GB2312" w:hAnsi="仿宋" w:eastAsia="仿宋_GB2312" w:cs="仿宋"/>
          <w:b/>
          <w:bCs/>
          <w:sz w:val="20"/>
          <w:szCs w:val="20"/>
          <w:highlight w:val="none"/>
        </w:rPr>
        <w:t>服务期限</w:t>
      </w:r>
    </w:p>
    <w:p w14:paraId="43E7573D">
      <w:pPr>
        <w:spacing w:line="360" w:lineRule="auto"/>
        <w:ind w:firstLine="400" w:firstLineChars="200"/>
        <w:rPr>
          <w:rFonts w:ascii="仿宋_GB2312" w:hAnsi="仿宋" w:eastAsia="仿宋_GB2312" w:cs="仿宋"/>
          <w:sz w:val="20"/>
          <w:szCs w:val="20"/>
          <w:highlight w:val="none"/>
          <w:u w:val="single"/>
        </w:rPr>
      </w:pPr>
      <w:r>
        <w:rPr>
          <w:rFonts w:hint="eastAsia" w:ascii="仿宋_GB2312" w:hAnsi="仿宋" w:eastAsia="仿宋_GB2312"/>
          <w:sz w:val="20"/>
          <w:szCs w:val="20"/>
          <w:highlight w:val="none"/>
        </w:rPr>
        <w:t>本项目服务期限为1年，</w:t>
      </w:r>
      <w:r>
        <w:rPr>
          <w:rFonts w:hint="eastAsia" w:ascii="仿宋_GB2312" w:hAnsi="仿宋" w:eastAsia="仿宋_GB2312" w:cs="仿宋"/>
          <w:sz w:val="20"/>
          <w:szCs w:val="20"/>
          <w:highlight w:val="none"/>
        </w:rPr>
        <w:t>合同有效期为自</w:t>
      </w:r>
      <w:r>
        <w:rPr>
          <w:rFonts w:hint="eastAsia" w:ascii="仿宋_GB2312" w:hAnsi="仿宋" w:eastAsia="仿宋_GB2312" w:cs="仿宋"/>
          <w:sz w:val="20"/>
          <w:szCs w:val="20"/>
          <w:highlight w:val="none"/>
          <w:u w:val="single"/>
        </w:rPr>
        <w:t xml:space="preserve">    年     月   日至    年   月   日止。 </w:t>
      </w:r>
    </w:p>
    <w:p w14:paraId="25A489BB">
      <w:pPr>
        <w:numPr>
          <w:ilvl w:val="0"/>
          <w:numId w:val="1"/>
        </w:numPr>
        <w:spacing w:line="360" w:lineRule="auto"/>
        <w:ind w:firstLine="0"/>
        <w:rPr>
          <w:rFonts w:ascii="仿宋_GB2312" w:hAnsi="仿宋" w:eastAsia="仿宋_GB2312" w:cs="仿宋"/>
          <w:b/>
          <w:bCs/>
          <w:sz w:val="20"/>
          <w:szCs w:val="20"/>
          <w:highlight w:val="none"/>
        </w:rPr>
      </w:pPr>
      <w:r>
        <w:rPr>
          <w:rFonts w:hint="eastAsia" w:ascii="仿宋_GB2312" w:hAnsi="仿宋" w:eastAsia="仿宋_GB2312" w:cs="仿宋"/>
          <w:b/>
          <w:bCs/>
          <w:sz w:val="20"/>
          <w:szCs w:val="20"/>
          <w:highlight w:val="none"/>
        </w:rPr>
        <w:t>服务费用及支付方式、期限</w:t>
      </w:r>
    </w:p>
    <w:p w14:paraId="15599E4A">
      <w:pPr>
        <w:numPr>
          <w:ilvl w:val="0"/>
          <w:numId w:val="3"/>
        </w:numPr>
        <w:spacing w:line="360" w:lineRule="auto"/>
        <w:rPr>
          <w:rFonts w:ascii="仿宋_GB2312" w:hAnsi="仿宋" w:eastAsia="仿宋_GB2312" w:cs="仿宋"/>
          <w:sz w:val="20"/>
          <w:szCs w:val="20"/>
          <w:highlight w:val="none"/>
        </w:rPr>
      </w:pPr>
      <w:r>
        <w:rPr>
          <w:rFonts w:hint="eastAsia" w:ascii="仿宋_GB2312" w:hAnsi="仿宋" w:eastAsia="仿宋_GB2312" w:cs="仿宋"/>
          <w:sz w:val="20"/>
          <w:szCs w:val="20"/>
          <w:highlight w:val="none"/>
        </w:rPr>
        <w:t>合同价款</w:t>
      </w:r>
    </w:p>
    <w:p w14:paraId="25922DA1">
      <w:pPr>
        <w:spacing w:line="360" w:lineRule="auto"/>
        <w:ind w:firstLine="400" w:firstLineChars="200"/>
        <w:rPr>
          <w:rFonts w:ascii="仿宋_GB2312" w:hAnsi="仿宋" w:eastAsia="仿宋_GB2312" w:cs="仿宋"/>
          <w:sz w:val="20"/>
          <w:szCs w:val="20"/>
          <w:highlight w:val="none"/>
        </w:rPr>
      </w:pPr>
      <w:r>
        <w:rPr>
          <w:rFonts w:hint="eastAsia" w:ascii="仿宋_GB2312" w:hAnsi="仿宋" w:eastAsia="仿宋_GB2312" w:cs="仿宋"/>
          <w:sz w:val="20"/>
          <w:szCs w:val="20"/>
          <w:highlight w:val="none"/>
        </w:rPr>
        <w:t xml:space="preserve">本合同价款总额为：大写：             小写：    </w:t>
      </w:r>
    </w:p>
    <w:p w14:paraId="5BDBE78D">
      <w:pPr>
        <w:spacing w:line="360" w:lineRule="auto"/>
        <w:ind w:firstLine="400" w:firstLineChars="200"/>
        <w:rPr>
          <w:rFonts w:ascii="仿宋_GB2312" w:hAnsi="仿宋" w:eastAsia="仿宋_GB2312" w:cs="仿宋"/>
          <w:sz w:val="20"/>
          <w:szCs w:val="20"/>
          <w:highlight w:val="none"/>
        </w:rPr>
      </w:pPr>
      <w:r>
        <w:rPr>
          <w:rFonts w:hint="eastAsia" w:ascii="仿宋_GB2312" w:hAnsi="仿宋" w:eastAsia="仿宋_GB2312" w:cs="仿宋"/>
          <w:sz w:val="20"/>
          <w:szCs w:val="20"/>
          <w:highlight w:val="none"/>
        </w:rPr>
        <w:t xml:space="preserve">支付方式：银行转账。        </w:t>
      </w:r>
    </w:p>
    <w:p w14:paraId="0E05CEB5">
      <w:pPr>
        <w:numPr>
          <w:ilvl w:val="0"/>
          <w:numId w:val="3"/>
        </w:numPr>
        <w:spacing w:line="360" w:lineRule="auto"/>
        <w:rPr>
          <w:rFonts w:ascii="仿宋_GB2312" w:hAnsi="仿宋" w:eastAsia="仿宋_GB2312" w:cs="仿宋"/>
          <w:sz w:val="20"/>
          <w:szCs w:val="20"/>
          <w:highlight w:val="none"/>
        </w:rPr>
      </w:pPr>
      <w:r>
        <w:rPr>
          <w:rFonts w:hint="eastAsia" w:ascii="仿宋_GB2312" w:hAnsi="仿宋" w:eastAsia="仿宋_GB2312" w:cs="仿宋"/>
          <w:sz w:val="20"/>
          <w:szCs w:val="20"/>
          <w:highlight w:val="none"/>
        </w:rPr>
        <w:t>款项结算</w:t>
      </w:r>
    </w:p>
    <w:p w14:paraId="55B09344">
      <w:pPr>
        <w:spacing w:line="360" w:lineRule="auto"/>
        <w:ind w:firstLine="400" w:firstLineChars="200"/>
        <w:rPr>
          <w:rFonts w:ascii="仿宋_GB2312" w:hAnsi="仿宋" w:eastAsia="仿宋_GB2312"/>
          <w:sz w:val="20"/>
          <w:szCs w:val="20"/>
          <w:highlight w:val="none"/>
        </w:rPr>
      </w:pPr>
      <w:r>
        <w:rPr>
          <w:rFonts w:hint="eastAsia" w:ascii="仿宋_GB2312" w:hAnsi="仿宋" w:eastAsia="仿宋_GB2312"/>
          <w:sz w:val="20"/>
          <w:szCs w:val="20"/>
          <w:highlight w:val="none"/>
        </w:rPr>
        <w:t>1、按季度据实结算</w:t>
      </w:r>
    </w:p>
    <w:p w14:paraId="50CD3E37">
      <w:pPr>
        <w:spacing w:line="360" w:lineRule="auto"/>
        <w:ind w:firstLine="400" w:firstLineChars="200"/>
        <w:rPr>
          <w:rFonts w:ascii="仿宋_GB2312" w:hAnsi="仿宋" w:eastAsia="仿宋_GB2312"/>
          <w:sz w:val="20"/>
          <w:szCs w:val="20"/>
          <w:highlight w:val="none"/>
        </w:rPr>
      </w:pPr>
      <w:r>
        <w:rPr>
          <w:rFonts w:hint="eastAsia" w:ascii="仿宋_GB2312" w:hAnsi="仿宋" w:eastAsia="仿宋_GB2312"/>
          <w:sz w:val="20"/>
          <w:szCs w:val="20"/>
          <w:highlight w:val="none"/>
        </w:rPr>
        <w:t>2、合同签订后，</w:t>
      </w:r>
      <w:r>
        <w:rPr>
          <w:rFonts w:hint="eastAsia" w:ascii="仿宋_GB2312" w:hAnsi="仿宋" w:eastAsia="仿宋_GB2312"/>
          <w:sz w:val="20"/>
          <w:szCs w:val="20"/>
          <w:highlight w:val="none"/>
          <w:lang w:eastAsia="zh-CN"/>
        </w:rPr>
        <w:t>每满三个月后10个工作日内支付该时间段的服务费用</w:t>
      </w:r>
      <w:r>
        <w:rPr>
          <w:rFonts w:hint="eastAsia" w:ascii="仿宋_GB2312" w:hAnsi="仿宋" w:eastAsia="仿宋_GB2312"/>
          <w:sz w:val="20"/>
          <w:szCs w:val="20"/>
          <w:highlight w:val="none"/>
        </w:rPr>
        <w:t>。乙方维保工作完后3个工作日内向甲方递交一份工作报告表，甲乙双方签字确认后则视为工作已完成。付款前乙方应向甲方提供合法有效的增值税专用发票。</w:t>
      </w:r>
    </w:p>
    <w:p w14:paraId="7FCD0EAA">
      <w:pPr>
        <w:numPr>
          <w:ilvl w:val="0"/>
          <w:numId w:val="1"/>
        </w:numPr>
        <w:spacing w:line="360" w:lineRule="auto"/>
        <w:ind w:firstLine="0"/>
        <w:rPr>
          <w:rFonts w:ascii="仿宋_GB2312" w:hAnsi="仿宋" w:eastAsia="仿宋_GB2312" w:cs="仿宋"/>
          <w:b/>
          <w:bCs/>
          <w:sz w:val="20"/>
          <w:szCs w:val="20"/>
          <w:highlight w:val="none"/>
        </w:rPr>
      </w:pPr>
      <w:r>
        <w:rPr>
          <w:rFonts w:hint="eastAsia" w:ascii="仿宋_GB2312" w:hAnsi="仿宋" w:eastAsia="仿宋_GB2312" w:cs="仿宋"/>
          <w:b/>
          <w:bCs/>
          <w:sz w:val="20"/>
          <w:szCs w:val="20"/>
          <w:highlight w:val="none"/>
        </w:rPr>
        <w:t>甲方、乙方权利与义务</w:t>
      </w:r>
    </w:p>
    <w:p w14:paraId="7EFECFC3">
      <w:pPr>
        <w:numPr>
          <w:ilvl w:val="0"/>
          <w:numId w:val="4"/>
        </w:numPr>
        <w:spacing w:line="360" w:lineRule="auto"/>
        <w:rPr>
          <w:rFonts w:ascii="仿宋_GB2312" w:hAnsi="仿宋" w:eastAsia="仿宋_GB2312" w:cs="仿宋"/>
          <w:sz w:val="20"/>
          <w:szCs w:val="20"/>
          <w:highlight w:val="none"/>
        </w:rPr>
      </w:pPr>
      <w:r>
        <w:rPr>
          <w:rFonts w:hint="eastAsia" w:ascii="仿宋_GB2312" w:hAnsi="仿宋" w:eastAsia="仿宋_GB2312" w:cs="仿宋"/>
          <w:sz w:val="20"/>
          <w:szCs w:val="20"/>
          <w:highlight w:val="none"/>
        </w:rPr>
        <w:t>甲方权利与义务</w:t>
      </w:r>
    </w:p>
    <w:p w14:paraId="307858A0">
      <w:pPr>
        <w:numPr>
          <w:ilvl w:val="0"/>
          <w:numId w:val="5"/>
        </w:numPr>
        <w:spacing w:line="360" w:lineRule="auto"/>
        <w:rPr>
          <w:rFonts w:ascii="仿宋_GB2312" w:hAnsi="仿宋" w:eastAsia="仿宋_GB2312" w:cs="仿宋"/>
          <w:sz w:val="20"/>
          <w:szCs w:val="20"/>
          <w:highlight w:val="none"/>
        </w:rPr>
      </w:pPr>
      <w:r>
        <w:rPr>
          <w:rFonts w:hint="eastAsia" w:ascii="仿宋_GB2312" w:hAnsi="仿宋" w:eastAsia="仿宋_GB2312" w:cs="仿宋"/>
          <w:sz w:val="20"/>
          <w:szCs w:val="20"/>
          <w:highlight w:val="none"/>
        </w:rPr>
        <w:t>委托</w:t>
      </w:r>
      <w:r>
        <w:rPr>
          <w:rFonts w:hint="eastAsia" w:ascii="仿宋_GB2312" w:hAnsi="仿宋" w:eastAsia="仿宋_GB2312" w:cs="仿宋"/>
          <w:sz w:val="20"/>
          <w:szCs w:val="20"/>
          <w:highlight w:val="none"/>
          <w:u w:val="single"/>
        </w:rPr>
        <w:t xml:space="preserve">            </w:t>
      </w:r>
      <w:r>
        <w:rPr>
          <w:rFonts w:hint="eastAsia" w:ascii="仿宋_GB2312" w:hAnsi="仿宋" w:eastAsia="仿宋_GB2312" w:cs="仿宋"/>
          <w:sz w:val="20"/>
          <w:szCs w:val="20"/>
          <w:highlight w:val="none"/>
        </w:rPr>
        <w:t>作为项目代表，享有对乙方的维保工作进行监督、管理的权利，</w:t>
      </w:r>
      <w:r>
        <w:rPr>
          <w:rFonts w:hint="eastAsia" w:ascii="仿宋_GB2312" w:hAnsi="仿宋" w:eastAsia="仿宋_GB2312"/>
          <w:sz w:val="20"/>
          <w:szCs w:val="20"/>
          <w:highlight w:val="none"/>
        </w:rPr>
        <w:t>若出现未按标准提供服务、应急处置不力等违约情况，按合同约定追究责任。</w:t>
      </w:r>
    </w:p>
    <w:p w14:paraId="4D31295E">
      <w:pPr>
        <w:numPr>
          <w:ilvl w:val="0"/>
          <w:numId w:val="5"/>
        </w:numPr>
        <w:spacing w:line="360" w:lineRule="auto"/>
        <w:rPr>
          <w:rFonts w:ascii="仿宋_GB2312" w:hAnsi="仿宋" w:eastAsia="仿宋_GB2312"/>
          <w:sz w:val="20"/>
          <w:szCs w:val="20"/>
          <w:highlight w:val="none"/>
        </w:rPr>
      </w:pPr>
      <w:r>
        <w:rPr>
          <w:rFonts w:hint="eastAsia" w:ascii="仿宋_GB2312" w:hAnsi="仿宋" w:eastAsia="仿宋_GB2312"/>
          <w:sz w:val="20"/>
          <w:szCs w:val="20"/>
          <w:highlight w:val="none"/>
        </w:rPr>
        <w:t>甲方按本</w:t>
      </w:r>
      <w:r>
        <w:rPr>
          <w:rFonts w:hint="eastAsia" w:ascii="仿宋_GB2312" w:hAnsi="仿宋" w:eastAsia="仿宋_GB2312"/>
          <w:sz w:val="20"/>
          <w:szCs w:val="20"/>
          <w:highlight w:val="none"/>
          <w:lang w:eastAsia="zh-CN"/>
        </w:rPr>
        <w:t>采购文件</w:t>
      </w:r>
      <w:r>
        <w:rPr>
          <w:rFonts w:hint="eastAsia" w:ascii="仿宋_GB2312" w:hAnsi="仿宋" w:eastAsia="仿宋_GB2312"/>
          <w:sz w:val="20"/>
          <w:szCs w:val="20"/>
          <w:highlight w:val="none"/>
        </w:rPr>
        <w:t>及合同约定的标准对乙方服务进行验收。</w:t>
      </w:r>
    </w:p>
    <w:p w14:paraId="28360B8A">
      <w:pPr>
        <w:numPr>
          <w:ilvl w:val="0"/>
          <w:numId w:val="5"/>
        </w:numPr>
        <w:spacing w:line="360" w:lineRule="auto"/>
        <w:rPr>
          <w:rFonts w:ascii="仿宋_GB2312" w:hAnsi="仿宋" w:eastAsia="仿宋_GB2312"/>
          <w:sz w:val="20"/>
          <w:szCs w:val="20"/>
          <w:highlight w:val="none"/>
        </w:rPr>
      </w:pPr>
      <w:r>
        <w:rPr>
          <w:rFonts w:hint="eastAsia" w:ascii="仿宋_GB2312" w:hAnsi="仿宋" w:eastAsia="仿宋_GB2312"/>
          <w:sz w:val="20"/>
          <w:szCs w:val="20"/>
          <w:highlight w:val="none"/>
        </w:rPr>
        <w:t>保卫科对服务质量进行全过程监管，考核内容包括日常巡检完整性、故障处置及时性、维保记录规范性、设备运行合格率等。</w:t>
      </w:r>
    </w:p>
    <w:p w14:paraId="17AA9DA4">
      <w:pPr>
        <w:numPr>
          <w:ilvl w:val="0"/>
          <w:numId w:val="4"/>
        </w:numPr>
        <w:spacing w:line="360" w:lineRule="auto"/>
        <w:rPr>
          <w:rFonts w:ascii="仿宋_GB2312" w:hAnsi="仿宋" w:eastAsia="仿宋_GB2312" w:cs="仿宋"/>
          <w:sz w:val="20"/>
          <w:szCs w:val="20"/>
          <w:highlight w:val="none"/>
        </w:rPr>
      </w:pPr>
      <w:r>
        <w:rPr>
          <w:rFonts w:hint="eastAsia" w:ascii="仿宋_GB2312" w:hAnsi="仿宋" w:eastAsia="仿宋_GB2312" w:cs="仿宋"/>
          <w:sz w:val="20"/>
          <w:szCs w:val="20"/>
          <w:highlight w:val="none"/>
        </w:rPr>
        <w:t>乙方权利与义务</w:t>
      </w:r>
    </w:p>
    <w:p w14:paraId="23438778">
      <w:pPr>
        <w:numPr>
          <w:ilvl w:val="0"/>
          <w:numId w:val="6"/>
        </w:numPr>
        <w:spacing w:line="360" w:lineRule="auto"/>
        <w:rPr>
          <w:rFonts w:ascii="仿宋_GB2312" w:hAnsi="仿宋" w:eastAsia="仿宋_GB2312" w:cs="仿宋"/>
          <w:sz w:val="20"/>
          <w:szCs w:val="20"/>
          <w:highlight w:val="none"/>
        </w:rPr>
      </w:pPr>
      <w:r>
        <w:rPr>
          <w:rFonts w:hint="eastAsia" w:ascii="仿宋_GB2312" w:hAnsi="仿宋" w:eastAsia="仿宋_GB2312" w:cs="仿宋"/>
          <w:sz w:val="20"/>
          <w:szCs w:val="20"/>
          <w:highlight w:val="none"/>
        </w:rPr>
        <w:t>委派项目负责人</w:t>
      </w:r>
      <w:r>
        <w:rPr>
          <w:rFonts w:hint="eastAsia" w:ascii="仿宋_GB2312" w:hAnsi="仿宋" w:eastAsia="仿宋_GB2312" w:cs="仿宋"/>
          <w:sz w:val="20"/>
          <w:szCs w:val="20"/>
          <w:highlight w:val="none"/>
          <w:u w:val="single"/>
        </w:rPr>
        <w:t xml:space="preserve">            </w:t>
      </w:r>
      <w:r>
        <w:rPr>
          <w:rFonts w:hint="eastAsia" w:ascii="仿宋_GB2312" w:hAnsi="仿宋" w:eastAsia="仿宋_GB2312" w:cs="仿宋"/>
          <w:sz w:val="20"/>
          <w:szCs w:val="20"/>
          <w:highlight w:val="none"/>
        </w:rPr>
        <w:t>负责项目维护保养，并负责处理相关事宜。</w:t>
      </w:r>
    </w:p>
    <w:p w14:paraId="16A4028B">
      <w:pPr>
        <w:numPr>
          <w:ilvl w:val="0"/>
          <w:numId w:val="6"/>
        </w:numPr>
        <w:spacing w:line="360" w:lineRule="auto"/>
        <w:rPr>
          <w:rFonts w:ascii="仿宋_GB2312" w:hAnsi="仿宋" w:eastAsia="仿宋_GB2312" w:cs="仿宋"/>
          <w:sz w:val="20"/>
          <w:szCs w:val="20"/>
          <w:highlight w:val="none"/>
        </w:rPr>
      </w:pPr>
      <w:r>
        <w:rPr>
          <w:rFonts w:hint="eastAsia" w:ascii="仿宋_GB2312" w:hAnsi="仿宋" w:eastAsia="仿宋_GB2312" w:cs="仿宋"/>
          <w:sz w:val="20"/>
          <w:szCs w:val="20"/>
          <w:highlight w:val="none"/>
        </w:rPr>
        <w:t>按照国家相关消防规范规定对委托维护保养的消防设施进行定期的技术性能测试检查和消防系统功能性操作试验检查。</w:t>
      </w:r>
    </w:p>
    <w:p w14:paraId="379938C7">
      <w:pPr>
        <w:numPr>
          <w:ilvl w:val="0"/>
          <w:numId w:val="6"/>
        </w:numPr>
        <w:spacing w:line="360" w:lineRule="auto"/>
        <w:rPr>
          <w:rFonts w:ascii="仿宋_GB2312" w:hAnsi="仿宋" w:eastAsia="仿宋_GB2312" w:cs="仿宋"/>
          <w:sz w:val="20"/>
          <w:szCs w:val="20"/>
          <w:highlight w:val="none"/>
        </w:rPr>
      </w:pPr>
      <w:r>
        <w:rPr>
          <w:rFonts w:hint="eastAsia" w:ascii="仿宋_GB2312" w:hAnsi="仿宋" w:eastAsia="仿宋_GB2312" w:cs="仿宋"/>
          <w:sz w:val="20"/>
          <w:szCs w:val="20"/>
          <w:highlight w:val="none"/>
        </w:rPr>
        <w:t>按规范进行维护保养工作并提供详细的月度、季度及年度维保报告。</w:t>
      </w:r>
    </w:p>
    <w:p w14:paraId="493A3070">
      <w:pPr>
        <w:numPr>
          <w:ilvl w:val="0"/>
          <w:numId w:val="6"/>
        </w:numPr>
        <w:spacing w:line="360" w:lineRule="auto"/>
        <w:rPr>
          <w:rFonts w:ascii="仿宋_GB2312" w:hAnsi="仿宋" w:eastAsia="仿宋_GB2312" w:cs="仿宋"/>
          <w:sz w:val="20"/>
          <w:szCs w:val="20"/>
          <w:highlight w:val="none"/>
        </w:rPr>
      </w:pPr>
      <w:r>
        <w:rPr>
          <w:rFonts w:hint="eastAsia" w:ascii="仿宋_GB2312" w:hAnsi="仿宋" w:eastAsia="仿宋_GB2312" w:cs="仿宋"/>
          <w:sz w:val="20"/>
          <w:szCs w:val="20"/>
          <w:highlight w:val="none"/>
        </w:rPr>
        <w:t>维保单位需建立完善的维保管理制度、人员培训机制及应急处置流程。</w:t>
      </w:r>
    </w:p>
    <w:p w14:paraId="7FC002BF">
      <w:pPr>
        <w:numPr>
          <w:ilvl w:val="0"/>
          <w:numId w:val="6"/>
        </w:numPr>
        <w:spacing w:line="360" w:lineRule="auto"/>
        <w:rPr>
          <w:rFonts w:ascii="仿宋_GB2312" w:hAnsi="仿宋" w:eastAsia="仿宋_GB2312" w:cs="仿宋"/>
          <w:sz w:val="20"/>
          <w:szCs w:val="20"/>
          <w:highlight w:val="none"/>
        </w:rPr>
      </w:pPr>
      <w:r>
        <w:rPr>
          <w:rFonts w:hint="eastAsia" w:ascii="仿宋_GB2312" w:hAnsi="仿宋" w:eastAsia="仿宋_GB2312" w:cs="仿宋"/>
          <w:sz w:val="20"/>
          <w:szCs w:val="20"/>
          <w:highlight w:val="none"/>
        </w:rPr>
        <w:t>乙方只对甲方的现有消防设备的联动功能进行维护，并承担相应的责任。因历史原因无法满足现有规范要求的部分，乙方不承担责任。</w:t>
      </w:r>
    </w:p>
    <w:p w14:paraId="581B5B30">
      <w:pPr>
        <w:numPr>
          <w:ilvl w:val="0"/>
          <w:numId w:val="6"/>
        </w:numPr>
        <w:spacing w:line="360" w:lineRule="auto"/>
        <w:rPr>
          <w:rFonts w:ascii="仿宋_GB2312" w:hAnsi="仿宋" w:eastAsia="仿宋_GB2312" w:cs="仿宋"/>
          <w:sz w:val="20"/>
          <w:szCs w:val="20"/>
          <w:highlight w:val="none"/>
        </w:rPr>
      </w:pPr>
      <w:r>
        <w:rPr>
          <w:rFonts w:hint="eastAsia" w:ascii="仿宋_GB2312" w:hAnsi="仿宋" w:eastAsia="仿宋_GB2312" w:cs="仿宋"/>
          <w:sz w:val="20"/>
          <w:szCs w:val="20"/>
          <w:highlight w:val="none"/>
        </w:rPr>
        <w:t>合同期满提交服务期限内的维保报告。</w:t>
      </w:r>
    </w:p>
    <w:p w14:paraId="60738926">
      <w:pPr>
        <w:numPr>
          <w:ilvl w:val="0"/>
          <w:numId w:val="6"/>
        </w:numPr>
        <w:spacing w:line="360" w:lineRule="auto"/>
        <w:rPr>
          <w:rFonts w:ascii="仿宋_GB2312" w:hAnsi="仿宋" w:eastAsia="仿宋_GB2312" w:cs="仿宋"/>
          <w:sz w:val="20"/>
          <w:szCs w:val="20"/>
          <w:highlight w:val="none"/>
        </w:rPr>
      </w:pPr>
      <w:r>
        <w:rPr>
          <w:rFonts w:hint="eastAsia" w:ascii="仿宋_GB2312" w:hAnsi="仿宋" w:eastAsia="仿宋_GB2312" w:cs="仿宋"/>
          <w:sz w:val="20"/>
          <w:szCs w:val="20"/>
          <w:highlight w:val="none"/>
        </w:rPr>
        <w:t>合同期满前提交消防年度检测报告。</w:t>
      </w:r>
    </w:p>
    <w:p w14:paraId="07BB74CE">
      <w:pPr>
        <w:numPr>
          <w:ilvl w:val="0"/>
          <w:numId w:val="1"/>
        </w:numPr>
        <w:spacing w:line="360" w:lineRule="auto"/>
        <w:ind w:firstLine="0"/>
        <w:rPr>
          <w:rFonts w:ascii="仿宋_GB2312" w:hAnsi="仿宋" w:eastAsia="仿宋_GB2312" w:cs="仿宋"/>
          <w:b/>
          <w:bCs/>
          <w:sz w:val="20"/>
          <w:szCs w:val="20"/>
          <w:highlight w:val="none"/>
        </w:rPr>
      </w:pPr>
      <w:r>
        <w:rPr>
          <w:rFonts w:hint="eastAsia" w:ascii="仿宋_GB2312" w:hAnsi="仿宋" w:eastAsia="仿宋_GB2312" w:cs="仿宋"/>
          <w:b/>
          <w:bCs/>
          <w:sz w:val="20"/>
          <w:szCs w:val="20"/>
          <w:highlight w:val="none"/>
        </w:rPr>
        <w:t>违约责任</w:t>
      </w:r>
    </w:p>
    <w:p w14:paraId="2B8A93CC">
      <w:pPr>
        <w:spacing w:line="360" w:lineRule="auto"/>
        <w:ind w:firstLine="300" w:firstLineChars="150"/>
        <w:rPr>
          <w:rFonts w:ascii="仿宋_GB2312" w:hAnsi="仿宋" w:eastAsia="仿宋_GB2312"/>
          <w:sz w:val="20"/>
          <w:szCs w:val="20"/>
          <w:highlight w:val="none"/>
        </w:rPr>
      </w:pPr>
      <w:r>
        <w:rPr>
          <w:rFonts w:hint="eastAsia" w:ascii="仿宋_GB2312" w:hAnsi="仿宋" w:eastAsia="仿宋_GB2312"/>
          <w:sz w:val="20"/>
          <w:szCs w:val="20"/>
          <w:highlight w:val="none"/>
        </w:rPr>
        <w:t>依据《中华人民共和国民法典》、《中华人民共和国政府采购法》的相关条款和本合同约定，乙方未全面履行合同义务或者发生违约，甲方有权终止合同，依法向乙方进行经济索赔，甲方违约的，应当赔偿给乙方造成的经济损失。</w:t>
      </w:r>
    </w:p>
    <w:p w14:paraId="2F347900">
      <w:pPr>
        <w:numPr>
          <w:ilvl w:val="0"/>
          <w:numId w:val="1"/>
        </w:numPr>
        <w:spacing w:line="360" w:lineRule="auto"/>
        <w:ind w:firstLine="0"/>
        <w:rPr>
          <w:rFonts w:ascii="仿宋_GB2312" w:hAnsi="仿宋" w:eastAsia="仿宋_GB2312" w:cs="仿宋"/>
          <w:b/>
          <w:bCs/>
          <w:sz w:val="20"/>
          <w:szCs w:val="20"/>
          <w:highlight w:val="none"/>
        </w:rPr>
      </w:pPr>
      <w:r>
        <w:rPr>
          <w:rFonts w:hint="eastAsia" w:ascii="仿宋_GB2312" w:hAnsi="仿宋" w:eastAsia="仿宋_GB2312" w:cs="仿宋"/>
          <w:b/>
          <w:bCs/>
          <w:sz w:val="20"/>
          <w:szCs w:val="20"/>
          <w:highlight w:val="none"/>
        </w:rPr>
        <w:t>不可抗力</w:t>
      </w:r>
    </w:p>
    <w:p w14:paraId="17FC9FDB">
      <w:pPr>
        <w:spacing w:line="360" w:lineRule="auto"/>
        <w:ind w:firstLine="400" w:firstLineChars="200"/>
        <w:rPr>
          <w:rFonts w:ascii="仿宋_GB2312" w:hAnsi="仿宋" w:eastAsia="仿宋_GB2312" w:cs="仿宋"/>
          <w:sz w:val="20"/>
          <w:szCs w:val="20"/>
          <w:highlight w:val="none"/>
        </w:rPr>
      </w:pPr>
      <w:r>
        <w:rPr>
          <w:rFonts w:hint="eastAsia" w:ascii="仿宋_GB2312" w:hAnsi="仿宋" w:eastAsia="仿宋_GB2312" w:cs="仿宋"/>
          <w:sz w:val="20"/>
          <w:szCs w:val="20"/>
          <w:highlight w:val="none"/>
        </w:rPr>
        <w:t>下列事件可认为是不可抗力事件：疫情、战争、动乱、地震、飓风、洪水、冰雹、雪灾等不能预见、不能避免、不能克服的客观情况。</w:t>
      </w:r>
    </w:p>
    <w:p w14:paraId="1ECD7F65">
      <w:pPr>
        <w:spacing w:line="360" w:lineRule="auto"/>
        <w:ind w:firstLine="400" w:firstLineChars="200"/>
        <w:rPr>
          <w:rFonts w:ascii="仿宋_GB2312" w:hAnsi="仿宋" w:eastAsia="仿宋_GB2312" w:cs="仿宋"/>
          <w:sz w:val="20"/>
          <w:szCs w:val="20"/>
          <w:highlight w:val="none"/>
        </w:rPr>
      </w:pPr>
      <w:r>
        <w:rPr>
          <w:rFonts w:hint="eastAsia" w:ascii="仿宋_GB2312" w:hAnsi="仿宋" w:eastAsia="仿宋_GB2312" w:cs="仿宋"/>
          <w:sz w:val="20"/>
          <w:szCs w:val="20"/>
          <w:highlight w:val="none"/>
        </w:rPr>
        <w:t>由于不可抗力原因，使双方或任何一方不能履行合同义务时，应采取有效措施，尽量避免或减少损失，将因不可抗力造成的损失降低到最低程度。并在不可抗力发生后 8 小时内以书面形式通知对方，并在其后 3 日内向对方提供有效证明文件。</w:t>
      </w:r>
    </w:p>
    <w:p w14:paraId="78EBCE89">
      <w:pPr>
        <w:spacing w:line="360" w:lineRule="auto"/>
        <w:ind w:firstLine="400" w:firstLineChars="200"/>
        <w:rPr>
          <w:rFonts w:ascii="仿宋_GB2312" w:hAnsi="仿宋" w:eastAsia="仿宋_GB2312" w:cs="仿宋"/>
          <w:sz w:val="20"/>
          <w:szCs w:val="20"/>
          <w:highlight w:val="none"/>
        </w:rPr>
      </w:pPr>
      <w:r>
        <w:rPr>
          <w:rFonts w:hint="eastAsia" w:ascii="仿宋_GB2312" w:hAnsi="仿宋" w:eastAsia="仿宋_GB2312" w:cs="仿宋"/>
          <w:sz w:val="20"/>
          <w:szCs w:val="20"/>
          <w:highlight w:val="none"/>
        </w:rPr>
        <w:t>因不可抗力致使合同无法按期履行或不能履行时双方应按有关法律规定及时协商处理。</w:t>
      </w:r>
    </w:p>
    <w:p w14:paraId="11F09629">
      <w:pPr>
        <w:numPr>
          <w:ilvl w:val="0"/>
          <w:numId w:val="1"/>
        </w:numPr>
        <w:spacing w:line="360" w:lineRule="auto"/>
        <w:ind w:firstLine="0"/>
        <w:rPr>
          <w:rFonts w:ascii="仿宋_GB2312" w:hAnsi="仿宋" w:eastAsia="仿宋_GB2312" w:cs="仿宋"/>
          <w:b/>
          <w:bCs/>
          <w:sz w:val="20"/>
          <w:szCs w:val="20"/>
          <w:highlight w:val="none"/>
        </w:rPr>
      </w:pPr>
      <w:r>
        <w:rPr>
          <w:rFonts w:hint="eastAsia" w:ascii="仿宋_GB2312" w:hAnsi="仿宋" w:eastAsia="仿宋_GB2312" w:cs="仿宋"/>
          <w:b/>
          <w:bCs/>
          <w:sz w:val="20"/>
          <w:szCs w:val="20"/>
          <w:highlight w:val="none"/>
        </w:rPr>
        <w:t>合同执行</w:t>
      </w:r>
    </w:p>
    <w:p w14:paraId="2F278793">
      <w:pPr>
        <w:spacing w:line="360" w:lineRule="auto"/>
        <w:ind w:firstLine="400" w:firstLineChars="200"/>
        <w:rPr>
          <w:rFonts w:ascii="仿宋_GB2312" w:hAnsi="仿宋" w:eastAsia="仿宋_GB2312" w:cs="仿宋"/>
          <w:sz w:val="20"/>
          <w:szCs w:val="20"/>
          <w:highlight w:val="none"/>
        </w:rPr>
      </w:pPr>
      <w:r>
        <w:rPr>
          <w:rFonts w:hint="eastAsia" w:ascii="仿宋_GB2312" w:hAnsi="仿宋" w:eastAsia="仿宋_GB2312" w:cs="仿宋"/>
          <w:sz w:val="20"/>
          <w:szCs w:val="20"/>
          <w:highlight w:val="none"/>
        </w:rPr>
        <w:t>本合同一式贰份，甲方执壹份、乙方执壹份，经双方签字盖章后生效，每份具有同等法律效力，本合同附件为本合同不可分割的组成部分，与合同具有同等法律效力。</w:t>
      </w:r>
    </w:p>
    <w:p w14:paraId="66B12AF1">
      <w:pPr>
        <w:spacing w:line="360" w:lineRule="auto"/>
        <w:ind w:firstLine="400" w:firstLineChars="200"/>
        <w:rPr>
          <w:rFonts w:ascii="仿宋_GB2312" w:hAnsi="仿宋" w:eastAsia="仿宋_GB2312" w:cs="仿宋"/>
          <w:sz w:val="20"/>
          <w:szCs w:val="20"/>
          <w:highlight w:val="none"/>
        </w:rPr>
      </w:pPr>
      <w:r>
        <w:rPr>
          <w:rFonts w:hint="eastAsia" w:ascii="仿宋_GB2312" w:hAnsi="仿宋" w:eastAsia="仿宋_GB2312" w:cs="仿宋"/>
          <w:sz w:val="20"/>
          <w:szCs w:val="20"/>
          <w:highlight w:val="none"/>
        </w:rPr>
        <w:t>本协议未尽事宜，双方可签订补充协议。如有争议，双方友好协商解决，若协商未果，可向甲方所在地法院提起诉讼。</w:t>
      </w:r>
    </w:p>
    <w:p w14:paraId="7A8DE1F3">
      <w:pPr>
        <w:spacing w:line="360" w:lineRule="auto"/>
        <w:ind w:firstLine="400" w:firstLineChars="200"/>
        <w:rPr>
          <w:rFonts w:ascii="仿宋_GB2312" w:hAnsi="仿宋" w:eastAsia="仿宋_GB2312" w:cs="仿宋"/>
          <w:sz w:val="20"/>
          <w:szCs w:val="20"/>
          <w:highlight w:val="none"/>
        </w:rPr>
      </w:pPr>
      <w:r>
        <w:rPr>
          <w:rFonts w:hint="eastAsia" w:ascii="仿宋_GB2312" w:hAnsi="仿宋" w:eastAsia="仿宋_GB2312" w:cs="仿宋"/>
          <w:sz w:val="20"/>
          <w:szCs w:val="20"/>
          <w:highlight w:val="none"/>
        </w:rPr>
        <w:t>合同签订地点：</w:t>
      </w:r>
    </w:p>
    <w:p w14:paraId="39207522">
      <w:pPr>
        <w:spacing w:line="360" w:lineRule="auto"/>
        <w:ind w:firstLine="400" w:firstLineChars="200"/>
        <w:rPr>
          <w:rFonts w:ascii="仿宋_GB2312" w:hAnsi="仿宋" w:eastAsia="仿宋_GB2312" w:cs="仿宋"/>
          <w:sz w:val="20"/>
          <w:szCs w:val="20"/>
          <w:highlight w:val="none"/>
        </w:rPr>
      </w:pPr>
      <w:r>
        <w:rPr>
          <w:rFonts w:hint="eastAsia" w:ascii="仿宋_GB2312" w:hAnsi="仿宋" w:eastAsia="仿宋_GB2312" w:cs="仿宋"/>
          <w:sz w:val="20"/>
          <w:szCs w:val="20"/>
          <w:highlight w:val="none"/>
        </w:rPr>
        <w:t>合同签订日期：</w:t>
      </w:r>
    </w:p>
    <w:p w14:paraId="51D70FCB">
      <w:pPr>
        <w:spacing w:line="360" w:lineRule="auto"/>
        <w:jc w:val="center"/>
        <w:rPr>
          <w:rFonts w:ascii="仿宋_GB2312" w:hAnsi="仿宋" w:eastAsia="仿宋_GB2312" w:cs="仿宋"/>
          <w:sz w:val="20"/>
          <w:szCs w:val="20"/>
          <w:highlight w:val="none"/>
        </w:rPr>
      </w:pPr>
    </w:p>
    <w:p w14:paraId="22523020">
      <w:pPr>
        <w:spacing w:line="360" w:lineRule="auto"/>
        <w:jc w:val="center"/>
        <w:rPr>
          <w:rFonts w:ascii="仿宋_GB2312" w:hAnsi="仿宋" w:eastAsia="仿宋_GB2312" w:cs="仿宋"/>
          <w:sz w:val="20"/>
          <w:szCs w:val="20"/>
          <w:highlight w:val="none"/>
        </w:rPr>
      </w:pPr>
      <w:r>
        <w:rPr>
          <w:rFonts w:hint="eastAsia" w:ascii="仿宋_GB2312" w:hAnsi="仿宋" w:eastAsia="仿宋_GB2312" w:cs="仿宋"/>
          <w:sz w:val="20"/>
          <w:szCs w:val="20"/>
          <w:highlight w:val="none"/>
        </w:rPr>
        <w:t>（以下无正文）</w:t>
      </w:r>
    </w:p>
    <w:p w14:paraId="7F2B3911">
      <w:pPr>
        <w:spacing w:line="360" w:lineRule="auto"/>
        <w:ind w:firstLine="400" w:firstLineChars="200"/>
        <w:rPr>
          <w:rFonts w:ascii="仿宋_GB2312" w:hAnsi="仿宋" w:eastAsia="仿宋_GB2312" w:cs="仿宋"/>
          <w:sz w:val="20"/>
          <w:szCs w:val="20"/>
          <w:highlight w:val="none"/>
        </w:rPr>
      </w:pPr>
    </w:p>
    <w:tbl>
      <w:tblPr>
        <w:tblStyle w:val="5"/>
        <w:tblW w:w="9920" w:type="dxa"/>
        <w:jc w:val="center"/>
        <w:tblLayout w:type="autofit"/>
        <w:tblCellMar>
          <w:top w:w="0" w:type="dxa"/>
          <w:left w:w="108" w:type="dxa"/>
          <w:bottom w:w="0" w:type="dxa"/>
          <w:right w:w="108" w:type="dxa"/>
        </w:tblCellMar>
      </w:tblPr>
      <w:tblGrid>
        <w:gridCol w:w="4960"/>
        <w:gridCol w:w="4960"/>
      </w:tblGrid>
      <w:tr w14:paraId="7EFA2CD9">
        <w:tblPrEx>
          <w:tblCellMar>
            <w:top w:w="0" w:type="dxa"/>
            <w:left w:w="108" w:type="dxa"/>
            <w:bottom w:w="0" w:type="dxa"/>
            <w:right w:w="108" w:type="dxa"/>
          </w:tblCellMar>
        </w:tblPrEx>
        <w:trPr>
          <w:trHeight w:val="465" w:hRule="atLeast"/>
          <w:jc w:val="center"/>
        </w:trPr>
        <w:tc>
          <w:tcPr>
            <w:tcW w:w="4960" w:type="dxa"/>
          </w:tcPr>
          <w:p w14:paraId="70A12251">
            <w:pPr>
              <w:pStyle w:val="4"/>
              <w:spacing w:after="0"/>
              <w:ind w:left="0" w:leftChars="0"/>
              <w:rPr>
                <w:rFonts w:ascii="仿宋_GB2312" w:hAnsi="仿宋" w:eastAsia="仿宋_GB2312" w:cs="仿宋"/>
                <w:sz w:val="20"/>
                <w:szCs w:val="20"/>
                <w:highlight w:val="none"/>
              </w:rPr>
            </w:pPr>
            <w:r>
              <w:rPr>
                <w:rFonts w:hint="eastAsia" w:ascii="仿宋_GB2312" w:hAnsi="仿宋" w:eastAsia="仿宋_GB2312" w:cs="仿宋"/>
                <w:sz w:val="20"/>
                <w:szCs w:val="20"/>
                <w:highlight w:val="none"/>
              </w:rPr>
              <w:t>甲方：（盖章）</w:t>
            </w:r>
          </w:p>
        </w:tc>
        <w:tc>
          <w:tcPr>
            <w:tcW w:w="4960" w:type="dxa"/>
          </w:tcPr>
          <w:p w14:paraId="6E4F7A21">
            <w:pPr>
              <w:pStyle w:val="4"/>
              <w:spacing w:after="0"/>
              <w:ind w:left="0" w:leftChars="0"/>
              <w:rPr>
                <w:rFonts w:ascii="仿宋_GB2312" w:hAnsi="仿宋" w:eastAsia="仿宋_GB2312" w:cs="仿宋"/>
                <w:sz w:val="20"/>
                <w:szCs w:val="20"/>
                <w:highlight w:val="none"/>
              </w:rPr>
            </w:pPr>
            <w:r>
              <w:rPr>
                <w:rFonts w:hint="eastAsia" w:ascii="仿宋_GB2312" w:hAnsi="仿宋" w:eastAsia="仿宋_GB2312" w:cs="仿宋"/>
                <w:sz w:val="20"/>
                <w:szCs w:val="20"/>
                <w:highlight w:val="none"/>
              </w:rPr>
              <w:t>乙方：（盖章）</w:t>
            </w:r>
          </w:p>
        </w:tc>
      </w:tr>
      <w:tr w14:paraId="04A274BC">
        <w:tblPrEx>
          <w:tblCellMar>
            <w:top w:w="0" w:type="dxa"/>
            <w:left w:w="108" w:type="dxa"/>
            <w:bottom w:w="0" w:type="dxa"/>
            <w:right w:w="108" w:type="dxa"/>
          </w:tblCellMar>
        </w:tblPrEx>
        <w:trPr>
          <w:trHeight w:val="465" w:hRule="atLeast"/>
          <w:jc w:val="center"/>
        </w:trPr>
        <w:tc>
          <w:tcPr>
            <w:tcW w:w="4960" w:type="dxa"/>
          </w:tcPr>
          <w:p w14:paraId="33C8B8E2">
            <w:pPr>
              <w:pStyle w:val="4"/>
              <w:spacing w:after="0"/>
              <w:ind w:left="0" w:leftChars="0"/>
              <w:rPr>
                <w:rFonts w:ascii="仿宋_GB2312" w:hAnsi="仿宋" w:eastAsia="仿宋_GB2312" w:cs="仿宋"/>
                <w:sz w:val="20"/>
                <w:szCs w:val="20"/>
                <w:highlight w:val="none"/>
              </w:rPr>
            </w:pPr>
            <w:r>
              <w:rPr>
                <w:rFonts w:hint="eastAsia" w:ascii="仿宋_GB2312" w:hAnsi="仿宋" w:eastAsia="仿宋_GB2312" w:cs="仿宋"/>
                <w:sz w:val="20"/>
                <w:szCs w:val="20"/>
                <w:highlight w:val="none"/>
              </w:rPr>
              <w:t>法定代表人（或授权代表）：</w:t>
            </w:r>
          </w:p>
        </w:tc>
        <w:tc>
          <w:tcPr>
            <w:tcW w:w="4960" w:type="dxa"/>
          </w:tcPr>
          <w:p w14:paraId="02888FEF">
            <w:pPr>
              <w:pStyle w:val="4"/>
              <w:spacing w:after="0"/>
              <w:ind w:left="0" w:leftChars="0"/>
              <w:rPr>
                <w:rFonts w:ascii="仿宋_GB2312" w:hAnsi="仿宋" w:eastAsia="仿宋_GB2312" w:cs="仿宋"/>
                <w:sz w:val="20"/>
                <w:szCs w:val="20"/>
                <w:highlight w:val="none"/>
              </w:rPr>
            </w:pPr>
            <w:r>
              <w:rPr>
                <w:rFonts w:hint="eastAsia" w:ascii="仿宋_GB2312" w:hAnsi="仿宋" w:eastAsia="仿宋_GB2312" w:cs="仿宋"/>
                <w:sz w:val="20"/>
                <w:szCs w:val="20"/>
                <w:highlight w:val="none"/>
              </w:rPr>
              <w:t>法定代表人（或授权代表）：</w:t>
            </w:r>
          </w:p>
        </w:tc>
      </w:tr>
      <w:tr w14:paraId="28ECD955">
        <w:tblPrEx>
          <w:tblCellMar>
            <w:top w:w="0" w:type="dxa"/>
            <w:left w:w="108" w:type="dxa"/>
            <w:bottom w:w="0" w:type="dxa"/>
            <w:right w:w="108" w:type="dxa"/>
          </w:tblCellMar>
        </w:tblPrEx>
        <w:trPr>
          <w:trHeight w:val="465" w:hRule="atLeast"/>
          <w:jc w:val="center"/>
        </w:trPr>
        <w:tc>
          <w:tcPr>
            <w:tcW w:w="4960" w:type="dxa"/>
          </w:tcPr>
          <w:p w14:paraId="48BF0D89">
            <w:pPr>
              <w:pStyle w:val="4"/>
              <w:spacing w:after="0"/>
              <w:ind w:left="0" w:leftChars="0"/>
              <w:rPr>
                <w:rFonts w:ascii="仿宋_GB2312" w:hAnsi="仿宋" w:eastAsia="仿宋_GB2312" w:cs="仿宋"/>
                <w:sz w:val="20"/>
                <w:szCs w:val="20"/>
                <w:highlight w:val="none"/>
              </w:rPr>
            </w:pPr>
            <w:r>
              <w:rPr>
                <w:rFonts w:hint="eastAsia" w:ascii="仿宋_GB2312" w:hAnsi="仿宋" w:eastAsia="仿宋_GB2312" w:cs="仿宋"/>
                <w:sz w:val="20"/>
                <w:szCs w:val="20"/>
                <w:highlight w:val="none"/>
              </w:rPr>
              <w:t>税    号：</w:t>
            </w:r>
          </w:p>
        </w:tc>
        <w:tc>
          <w:tcPr>
            <w:tcW w:w="4960" w:type="dxa"/>
          </w:tcPr>
          <w:p w14:paraId="15E63478">
            <w:pPr>
              <w:pStyle w:val="4"/>
              <w:spacing w:after="0"/>
              <w:ind w:left="0" w:leftChars="0"/>
              <w:rPr>
                <w:rFonts w:ascii="仿宋_GB2312" w:hAnsi="仿宋" w:eastAsia="仿宋_GB2312" w:cs="仿宋"/>
                <w:sz w:val="20"/>
                <w:szCs w:val="20"/>
                <w:highlight w:val="none"/>
              </w:rPr>
            </w:pPr>
            <w:r>
              <w:rPr>
                <w:rFonts w:hint="eastAsia" w:ascii="仿宋_GB2312" w:hAnsi="仿宋" w:eastAsia="仿宋_GB2312" w:cs="仿宋"/>
                <w:sz w:val="20"/>
                <w:szCs w:val="20"/>
                <w:highlight w:val="none"/>
              </w:rPr>
              <w:t>税    号：</w:t>
            </w:r>
          </w:p>
        </w:tc>
      </w:tr>
      <w:tr w14:paraId="1000CD4B">
        <w:tblPrEx>
          <w:tblCellMar>
            <w:top w:w="0" w:type="dxa"/>
            <w:left w:w="108" w:type="dxa"/>
            <w:bottom w:w="0" w:type="dxa"/>
            <w:right w:w="108" w:type="dxa"/>
          </w:tblCellMar>
        </w:tblPrEx>
        <w:trPr>
          <w:trHeight w:val="465" w:hRule="atLeast"/>
          <w:jc w:val="center"/>
        </w:trPr>
        <w:tc>
          <w:tcPr>
            <w:tcW w:w="4960" w:type="dxa"/>
          </w:tcPr>
          <w:p w14:paraId="7E3F015D">
            <w:pPr>
              <w:pStyle w:val="4"/>
              <w:spacing w:after="0"/>
              <w:ind w:left="0" w:leftChars="0"/>
              <w:rPr>
                <w:rFonts w:ascii="仿宋_GB2312" w:hAnsi="仿宋" w:eastAsia="仿宋_GB2312" w:cs="仿宋"/>
                <w:sz w:val="20"/>
                <w:szCs w:val="20"/>
                <w:highlight w:val="none"/>
              </w:rPr>
            </w:pPr>
            <w:r>
              <w:rPr>
                <w:rFonts w:hint="eastAsia" w:ascii="仿宋_GB2312" w:hAnsi="仿宋" w:eastAsia="仿宋_GB2312" w:cs="仿宋"/>
                <w:sz w:val="20"/>
                <w:szCs w:val="20"/>
                <w:highlight w:val="none"/>
              </w:rPr>
              <w:t>地    址：</w:t>
            </w:r>
          </w:p>
        </w:tc>
        <w:tc>
          <w:tcPr>
            <w:tcW w:w="4960" w:type="dxa"/>
          </w:tcPr>
          <w:p w14:paraId="0EF640B5">
            <w:pPr>
              <w:pStyle w:val="4"/>
              <w:spacing w:after="0"/>
              <w:ind w:left="0" w:leftChars="0"/>
              <w:rPr>
                <w:rFonts w:ascii="仿宋_GB2312" w:hAnsi="仿宋" w:eastAsia="仿宋_GB2312" w:cs="仿宋"/>
                <w:sz w:val="20"/>
                <w:szCs w:val="20"/>
                <w:highlight w:val="none"/>
              </w:rPr>
            </w:pPr>
            <w:r>
              <w:rPr>
                <w:rFonts w:hint="eastAsia" w:ascii="仿宋_GB2312" w:hAnsi="仿宋" w:eastAsia="仿宋_GB2312" w:cs="仿宋"/>
                <w:sz w:val="20"/>
                <w:szCs w:val="20"/>
                <w:highlight w:val="none"/>
              </w:rPr>
              <w:t>地    址：</w:t>
            </w:r>
          </w:p>
        </w:tc>
      </w:tr>
      <w:tr w14:paraId="660C1B9D">
        <w:tblPrEx>
          <w:tblCellMar>
            <w:top w:w="0" w:type="dxa"/>
            <w:left w:w="108" w:type="dxa"/>
            <w:bottom w:w="0" w:type="dxa"/>
            <w:right w:w="108" w:type="dxa"/>
          </w:tblCellMar>
        </w:tblPrEx>
        <w:trPr>
          <w:trHeight w:val="465" w:hRule="atLeast"/>
          <w:jc w:val="center"/>
        </w:trPr>
        <w:tc>
          <w:tcPr>
            <w:tcW w:w="4960" w:type="dxa"/>
          </w:tcPr>
          <w:p w14:paraId="7CDD685C">
            <w:pPr>
              <w:pStyle w:val="4"/>
              <w:spacing w:after="0"/>
              <w:ind w:left="0" w:leftChars="0"/>
              <w:rPr>
                <w:rFonts w:ascii="仿宋_GB2312" w:hAnsi="仿宋" w:eastAsia="仿宋_GB2312" w:cs="仿宋"/>
                <w:sz w:val="20"/>
                <w:szCs w:val="20"/>
                <w:highlight w:val="none"/>
              </w:rPr>
            </w:pPr>
            <w:r>
              <w:rPr>
                <w:rFonts w:hint="eastAsia" w:ascii="仿宋_GB2312" w:hAnsi="仿宋" w:eastAsia="仿宋_GB2312" w:cs="仿宋"/>
                <w:sz w:val="20"/>
                <w:szCs w:val="20"/>
                <w:highlight w:val="none"/>
              </w:rPr>
              <w:t>开户银行：</w:t>
            </w:r>
          </w:p>
        </w:tc>
        <w:tc>
          <w:tcPr>
            <w:tcW w:w="4960" w:type="dxa"/>
          </w:tcPr>
          <w:p w14:paraId="4DC54E7B">
            <w:pPr>
              <w:pStyle w:val="4"/>
              <w:spacing w:after="0"/>
              <w:ind w:left="0" w:leftChars="0"/>
              <w:rPr>
                <w:rFonts w:ascii="仿宋_GB2312" w:hAnsi="仿宋" w:eastAsia="仿宋_GB2312" w:cs="仿宋"/>
                <w:sz w:val="20"/>
                <w:szCs w:val="20"/>
                <w:highlight w:val="none"/>
              </w:rPr>
            </w:pPr>
            <w:r>
              <w:rPr>
                <w:rFonts w:hint="eastAsia" w:ascii="仿宋_GB2312" w:hAnsi="仿宋" w:eastAsia="仿宋_GB2312" w:cs="仿宋"/>
                <w:sz w:val="20"/>
                <w:szCs w:val="20"/>
                <w:highlight w:val="none"/>
              </w:rPr>
              <w:t>开户银行：</w:t>
            </w:r>
          </w:p>
        </w:tc>
      </w:tr>
      <w:tr w14:paraId="15110789">
        <w:tblPrEx>
          <w:tblCellMar>
            <w:top w:w="0" w:type="dxa"/>
            <w:left w:w="108" w:type="dxa"/>
            <w:bottom w:w="0" w:type="dxa"/>
            <w:right w:w="108" w:type="dxa"/>
          </w:tblCellMar>
        </w:tblPrEx>
        <w:trPr>
          <w:trHeight w:val="465" w:hRule="atLeast"/>
          <w:jc w:val="center"/>
        </w:trPr>
        <w:tc>
          <w:tcPr>
            <w:tcW w:w="4960" w:type="dxa"/>
          </w:tcPr>
          <w:p w14:paraId="43FEBA38">
            <w:pPr>
              <w:pStyle w:val="4"/>
              <w:spacing w:after="0"/>
              <w:ind w:left="0" w:leftChars="0"/>
              <w:rPr>
                <w:rFonts w:ascii="仿宋_GB2312" w:hAnsi="仿宋" w:eastAsia="仿宋_GB2312" w:cs="仿宋"/>
                <w:sz w:val="20"/>
                <w:szCs w:val="20"/>
                <w:highlight w:val="none"/>
              </w:rPr>
            </w:pPr>
            <w:r>
              <w:rPr>
                <w:rFonts w:hint="eastAsia" w:ascii="仿宋_GB2312" w:hAnsi="仿宋" w:eastAsia="仿宋_GB2312" w:cs="仿宋"/>
                <w:sz w:val="20"/>
                <w:szCs w:val="20"/>
                <w:highlight w:val="none"/>
              </w:rPr>
              <w:t xml:space="preserve">账    号： </w:t>
            </w:r>
          </w:p>
        </w:tc>
        <w:tc>
          <w:tcPr>
            <w:tcW w:w="4960" w:type="dxa"/>
          </w:tcPr>
          <w:p w14:paraId="7F805AF8">
            <w:pPr>
              <w:pStyle w:val="4"/>
              <w:spacing w:after="0"/>
              <w:ind w:left="0" w:leftChars="0"/>
              <w:rPr>
                <w:rFonts w:ascii="仿宋_GB2312" w:hAnsi="仿宋" w:eastAsia="仿宋_GB2312" w:cs="仿宋"/>
                <w:sz w:val="20"/>
                <w:szCs w:val="20"/>
                <w:highlight w:val="none"/>
              </w:rPr>
            </w:pPr>
            <w:r>
              <w:rPr>
                <w:rFonts w:hint="eastAsia" w:ascii="仿宋_GB2312" w:hAnsi="仿宋" w:eastAsia="仿宋_GB2312" w:cs="仿宋"/>
                <w:sz w:val="20"/>
                <w:szCs w:val="20"/>
                <w:highlight w:val="none"/>
              </w:rPr>
              <w:t xml:space="preserve">账    号： </w:t>
            </w:r>
          </w:p>
        </w:tc>
      </w:tr>
      <w:tr w14:paraId="237EBA1B">
        <w:tblPrEx>
          <w:tblCellMar>
            <w:top w:w="0" w:type="dxa"/>
            <w:left w:w="108" w:type="dxa"/>
            <w:bottom w:w="0" w:type="dxa"/>
            <w:right w:w="108" w:type="dxa"/>
          </w:tblCellMar>
        </w:tblPrEx>
        <w:trPr>
          <w:trHeight w:val="465" w:hRule="atLeast"/>
          <w:jc w:val="center"/>
        </w:trPr>
        <w:tc>
          <w:tcPr>
            <w:tcW w:w="4960" w:type="dxa"/>
          </w:tcPr>
          <w:p w14:paraId="6F693B2A">
            <w:pPr>
              <w:pStyle w:val="4"/>
              <w:spacing w:after="0"/>
              <w:ind w:left="0" w:leftChars="0"/>
              <w:rPr>
                <w:rFonts w:ascii="仿宋_GB2312" w:hAnsi="仿宋" w:eastAsia="仿宋_GB2312" w:cs="仿宋"/>
                <w:sz w:val="20"/>
                <w:szCs w:val="20"/>
                <w:highlight w:val="none"/>
              </w:rPr>
            </w:pPr>
            <w:r>
              <w:rPr>
                <w:rFonts w:hint="eastAsia" w:ascii="仿宋_GB2312" w:hAnsi="仿宋" w:eastAsia="仿宋_GB2312" w:cs="仿宋"/>
                <w:sz w:val="20"/>
                <w:szCs w:val="20"/>
                <w:highlight w:val="none"/>
              </w:rPr>
              <w:t xml:space="preserve">电    话： </w:t>
            </w:r>
          </w:p>
        </w:tc>
        <w:tc>
          <w:tcPr>
            <w:tcW w:w="4960" w:type="dxa"/>
          </w:tcPr>
          <w:p w14:paraId="2CD22C2C">
            <w:pPr>
              <w:pStyle w:val="4"/>
              <w:spacing w:after="0"/>
              <w:ind w:left="0" w:leftChars="0"/>
              <w:rPr>
                <w:rFonts w:ascii="仿宋_GB2312" w:hAnsi="仿宋" w:eastAsia="仿宋_GB2312" w:cs="仿宋"/>
                <w:sz w:val="20"/>
                <w:szCs w:val="20"/>
                <w:highlight w:val="none"/>
              </w:rPr>
            </w:pPr>
            <w:r>
              <w:rPr>
                <w:rFonts w:hint="eastAsia" w:ascii="仿宋_GB2312" w:hAnsi="仿宋" w:eastAsia="仿宋_GB2312" w:cs="仿宋"/>
                <w:sz w:val="20"/>
                <w:szCs w:val="20"/>
                <w:highlight w:val="none"/>
              </w:rPr>
              <w:t xml:space="preserve">电    话： </w:t>
            </w:r>
          </w:p>
        </w:tc>
      </w:tr>
      <w:tr w14:paraId="63BE5031">
        <w:tblPrEx>
          <w:tblCellMar>
            <w:top w:w="0" w:type="dxa"/>
            <w:left w:w="108" w:type="dxa"/>
            <w:bottom w:w="0" w:type="dxa"/>
            <w:right w:w="108" w:type="dxa"/>
          </w:tblCellMar>
        </w:tblPrEx>
        <w:trPr>
          <w:trHeight w:val="465" w:hRule="atLeast"/>
          <w:jc w:val="center"/>
        </w:trPr>
        <w:tc>
          <w:tcPr>
            <w:tcW w:w="4960" w:type="dxa"/>
          </w:tcPr>
          <w:p w14:paraId="54072F71">
            <w:pPr>
              <w:pStyle w:val="4"/>
              <w:spacing w:after="0"/>
              <w:ind w:left="0" w:leftChars="0"/>
              <w:rPr>
                <w:rFonts w:ascii="仿宋_GB2312" w:hAnsi="仿宋" w:eastAsia="仿宋_GB2312" w:cs="仿宋"/>
                <w:sz w:val="20"/>
                <w:szCs w:val="20"/>
                <w:highlight w:val="none"/>
              </w:rPr>
            </w:pPr>
            <w:r>
              <w:rPr>
                <w:rFonts w:hint="eastAsia" w:ascii="仿宋_GB2312" w:hAnsi="仿宋" w:eastAsia="仿宋_GB2312" w:cs="仿宋"/>
                <w:sz w:val="20"/>
                <w:szCs w:val="20"/>
                <w:highlight w:val="none"/>
              </w:rPr>
              <w:t>签约日期：</w:t>
            </w:r>
          </w:p>
        </w:tc>
        <w:tc>
          <w:tcPr>
            <w:tcW w:w="4960" w:type="dxa"/>
          </w:tcPr>
          <w:p w14:paraId="5E01830B">
            <w:pPr>
              <w:pStyle w:val="4"/>
              <w:spacing w:after="0"/>
              <w:ind w:left="0" w:leftChars="0"/>
              <w:rPr>
                <w:rFonts w:ascii="仿宋_GB2312" w:hAnsi="仿宋" w:eastAsia="仿宋_GB2312" w:cs="仿宋"/>
                <w:sz w:val="20"/>
                <w:szCs w:val="20"/>
                <w:highlight w:val="none"/>
              </w:rPr>
            </w:pPr>
            <w:r>
              <w:rPr>
                <w:rFonts w:hint="eastAsia" w:ascii="仿宋_GB2312" w:hAnsi="仿宋" w:eastAsia="仿宋_GB2312" w:cs="仿宋"/>
                <w:sz w:val="20"/>
                <w:szCs w:val="20"/>
                <w:highlight w:val="none"/>
              </w:rPr>
              <w:t>签约日期：</w:t>
            </w:r>
          </w:p>
        </w:tc>
      </w:tr>
    </w:tbl>
    <w:p w14:paraId="6190DF19">
      <w:pPr>
        <w:spacing w:line="360" w:lineRule="auto"/>
        <w:ind w:firstLine="400" w:firstLineChars="200"/>
        <w:rPr>
          <w:rFonts w:ascii="仿宋_GB2312" w:hAnsi="仿宋" w:eastAsia="仿宋_GB2312" w:cs="仿宋"/>
          <w:sz w:val="20"/>
          <w:szCs w:val="20"/>
          <w:highlight w:val="none"/>
        </w:rPr>
      </w:pPr>
    </w:p>
    <w:p w14:paraId="790174F1">
      <w:pPr>
        <w:pStyle w:val="7"/>
        <w:spacing w:line="360" w:lineRule="auto"/>
        <w:rPr>
          <w:rFonts w:hint="default" w:ascii="仿宋_GB2312" w:hAnsi="仿宋_GB2312" w:eastAsia="仿宋_GB2312" w:cs="仿宋_GB2312"/>
          <w:highlight w:val="none"/>
          <w:lang w:eastAsia="zh-CN"/>
        </w:rPr>
      </w:pPr>
    </w:p>
    <w:p w14:paraId="54B0C727">
      <w:bookmarkStart w:id="0" w:name="_GoBack"/>
      <w:bookmarkEnd w:id="0"/>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01A73D">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3A959C1">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73A959C1">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612051">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542A43D">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542A43D">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5E07E7">
    <w:pPr>
      <w:ind w:firstLine="1260" w:firstLineChars="600"/>
      <w:rPr>
        <w:rFonts w:ascii="宋体" w:hAnsi="宋体" w:cs="宋体"/>
        <w:szCs w:val="21"/>
      </w:rPr>
    </w:pPr>
  </w:p>
  <w:p w14:paraId="7457E797">
    <w:pPr>
      <w:ind w:firstLine="210" w:firstLineChars="100"/>
      <w:rPr>
        <w:rFonts w:ascii="宋体" w:hAnsi="宋体" w:cs="宋体"/>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722E5D">
    <w:pPr>
      <w:ind w:firstLine="1260" w:firstLineChars="600"/>
      <w:rPr>
        <w:rFonts w:ascii="宋体" w:hAnsi="宋体" w:cs="宋体"/>
        <w:szCs w:val="21"/>
      </w:rPr>
    </w:pPr>
  </w:p>
  <w:p w14:paraId="3269743C">
    <w:pPr>
      <w:ind w:firstLine="210" w:firstLineChars="100"/>
      <w:rPr>
        <w:rFonts w:ascii="宋体" w:hAnsi="宋体" w:cs="宋体"/>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64DA9C2"/>
    <w:multiLevelType w:val="singleLevel"/>
    <w:tmpl w:val="A64DA9C2"/>
    <w:lvl w:ilvl="0" w:tentative="0">
      <w:start w:val="1"/>
      <w:numFmt w:val="decimal"/>
      <w:lvlText w:val="%1."/>
      <w:lvlJc w:val="left"/>
      <w:pPr>
        <w:ind w:left="425" w:hanging="425"/>
      </w:pPr>
      <w:rPr>
        <w:rFonts w:hint="default"/>
      </w:rPr>
    </w:lvl>
  </w:abstractNum>
  <w:abstractNum w:abstractNumId="1">
    <w:nsid w:val="DBF8F46E"/>
    <w:multiLevelType w:val="singleLevel"/>
    <w:tmpl w:val="DBF8F46E"/>
    <w:lvl w:ilvl="0" w:tentative="0">
      <w:start w:val="1"/>
      <w:numFmt w:val="chineseCounting"/>
      <w:suff w:val="nothing"/>
      <w:lvlText w:val="（%1）"/>
      <w:lvlJc w:val="left"/>
      <w:pPr>
        <w:ind w:left="0" w:firstLine="420"/>
      </w:pPr>
      <w:rPr>
        <w:rFonts w:hint="eastAsia"/>
      </w:rPr>
    </w:lvl>
  </w:abstractNum>
  <w:abstractNum w:abstractNumId="2">
    <w:nsid w:val="02B5B86F"/>
    <w:multiLevelType w:val="singleLevel"/>
    <w:tmpl w:val="02B5B86F"/>
    <w:lvl w:ilvl="0" w:tentative="0">
      <w:start w:val="1"/>
      <w:numFmt w:val="chineseCounting"/>
      <w:suff w:val="nothing"/>
      <w:lvlText w:val="（%1）"/>
      <w:lvlJc w:val="left"/>
      <w:pPr>
        <w:ind w:left="0" w:firstLine="420"/>
      </w:pPr>
      <w:rPr>
        <w:rFonts w:hint="eastAsia"/>
      </w:rPr>
    </w:lvl>
  </w:abstractNum>
  <w:abstractNum w:abstractNumId="3">
    <w:nsid w:val="0DA20C53"/>
    <w:multiLevelType w:val="singleLevel"/>
    <w:tmpl w:val="0DA20C53"/>
    <w:lvl w:ilvl="0" w:tentative="0">
      <w:start w:val="1"/>
      <w:numFmt w:val="decimal"/>
      <w:lvlText w:val="%1."/>
      <w:lvlJc w:val="left"/>
      <w:pPr>
        <w:ind w:left="425" w:hanging="425"/>
      </w:pPr>
      <w:rPr>
        <w:rFonts w:hint="default"/>
      </w:rPr>
    </w:lvl>
  </w:abstractNum>
  <w:abstractNum w:abstractNumId="4">
    <w:nsid w:val="479F9089"/>
    <w:multiLevelType w:val="singleLevel"/>
    <w:tmpl w:val="479F9089"/>
    <w:lvl w:ilvl="0" w:tentative="0">
      <w:start w:val="1"/>
      <w:numFmt w:val="chineseCounting"/>
      <w:suff w:val="nothing"/>
      <w:lvlText w:val="（%1）"/>
      <w:lvlJc w:val="left"/>
      <w:pPr>
        <w:ind w:left="0" w:firstLine="420"/>
      </w:pPr>
      <w:rPr>
        <w:rFonts w:hint="eastAsia"/>
      </w:rPr>
    </w:lvl>
  </w:abstractNum>
  <w:abstractNum w:abstractNumId="5">
    <w:nsid w:val="5ADE60A5"/>
    <w:multiLevelType w:val="singleLevel"/>
    <w:tmpl w:val="5ADE60A5"/>
    <w:lvl w:ilvl="0" w:tentative="0">
      <w:start w:val="1"/>
      <w:numFmt w:val="chineseCounting"/>
      <w:suff w:val="nothing"/>
      <w:lvlText w:val="%1、"/>
      <w:lvlJc w:val="left"/>
      <w:pPr>
        <w:ind w:left="0" w:firstLine="420"/>
      </w:pPr>
      <w:rPr>
        <w:rFonts w:hint="eastAsia"/>
      </w:rPr>
    </w:lvl>
  </w:abstractNum>
  <w:num w:numId="1">
    <w:abstractNumId w:val="5"/>
  </w:num>
  <w:num w:numId="2">
    <w:abstractNumId w:val="2"/>
  </w:num>
  <w:num w:numId="3">
    <w:abstractNumId w:val="1"/>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7752720"/>
    <w:rsid w:val="277527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Body Text Indent 3"/>
    <w:basedOn w:val="1"/>
    <w:unhideWhenUsed/>
    <w:qFormat/>
    <w:uiPriority w:val="0"/>
    <w:pPr>
      <w:spacing w:after="120"/>
      <w:ind w:left="420" w:leftChars="200"/>
    </w:pPr>
    <w:rPr>
      <w:sz w:val="16"/>
      <w:szCs w:val="16"/>
    </w:rPr>
  </w:style>
  <w:style w:type="paragraph" w:customStyle="1" w:styleId="7">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2025-12-02T03:27:00Z</dcterms:created>
  <dc:creator>Monster .</dc:creator>
  <cp:lastModifiedBy>Monster .</cp:lastModifiedBy>
  <dcterms:modified xsi:type="dcterms:W3CDTF">2025-12-02T03:28:05Z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D506649431AE43BBAE9F84C2CB14965A_11</vt:lpwstr>
  </property>
  <property fmtid="{D5CDD505-2E9C-101B-9397-08002B2CF9AE}" pid="4" name="KSOTemplateDocerSaveRecord">
    <vt:lpwstr>eyJoZGlkIjoiOGU3NjRlMjE0NmMwNzhlNDUxOGFiY2U2NWFlZDA2OTIiLCJ1c2VySWQiOiIzNDk5NjQzNjEifQ==</vt:lpwstr>
  </property>
</Properties>
</file>