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版本号：ZZD招202508020251224001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等级保护测评服务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ZZD招2025080</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中智达项目管理有限公司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中智达项目管理有限公司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等级保护测评服务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ZZD招2025080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等级保护测评服务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西安市中心医院的重要网络系统安全运行，落实《中华人民共和国网络安全法》《信息安全等级保护管理办法》等国家法律法规要求，结合我单位的实际情况，现对西安市中心医院2个信息系统开展网络安全等级保护测评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采购包1（信息系统等级测评服务）：属于专门面向中小企业采购。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1、具有独立承担民事责任的能力：具有独立承担民事责任能力的法人、其他组织或自然人，并出具合法有效的营业执照或事业单位法人证书等国家规定的相关证明（副本）,自然人参与的提供其身份证明；</w:t>
      </w:r>
    </w:p>
    <w:p>
      <w:pPr>
        <w:pStyle w:val="null3"/>
      </w:pPr>
      <w:r>
        <w:rPr>
          <w:rFonts w:ascii="仿宋_GB2312" w:hAnsi="仿宋_GB2312" w:cs="仿宋_GB2312" w:eastAsia="仿宋_GB2312"/>
        </w:rPr>
        <w:t>2、法定代表人授权：法定代表人直接参加磋商的，须提供法定代表人身份证明及其身份证复印件加盖供应商公章；法定代表人授权本单位人员参加磋商的，须提供法定代表人授权委托书（附法定代表人、被授权人身份证复印件加盖供应商公章）及投标截止时间前被授权人近三个月的社保缴纳证明（不含投标当月）；</w:t>
      </w:r>
    </w:p>
    <w:p>
      <w:pPr>
        <w:pStyle w:val="null3"/>
      </w:pPr>
      <w:r>
        <w:rPr>
          <w:rFonts w:ascii="仿宋_GB2312" w:hAnsi="仿宋_GB2312" w:cs="仿宋_GB2312" w:eastAsia="仿宋_GB2312"/>
        </w:rPr>
        <w:t>3、具有良好的商业信誉和健全的财务会计制度：供应商提供经会计师事务所审计的2024年的财务审计报告(包含审计报告正文、资产负债表、利润表、现金流量表、所有者权益变动表及其附注），该报告须真实有效，符合《关于加强审计报告查验工作的通知》（财会〔2023〕15 号）文件要求，且已在注册会计师行业统一监管平台完成报备及赋码；成立时间至提交响应文件截止时间不足一年的可提供成立后任意时段的资产负债表，或其开标前六个月内银行出具的资信证明；</w:t>
      </w:r>
    </w:p>
    <w:p>
      <w:pPr>
        <w:pStyle w:val="null3"/>
      </w:pPr>
      <w:r>
        <w:rPr>
          <w:rFonts w:ascii="仿宋_GB2312" w:hAnsi="仿宋_GB2312" w:cs="仿宋_GB2312" w:eastAsia="仿宋_GB2312"/>
        </w:rPr>
        <w:t>4、具有履行合同所必需的设备和专业技术能力：提供具有履行本合同所必需的设备和专业技术能力的声明；</w:t>
      </w:r>
    </w:p>
    <w:p>
      <w:pPr>
        <w:pStyle w:val="null3"/>
      </w:pPr>
      <w:r>
        <w:rPr>
          <w:rFonts w:ascii="仿宋_GB2312" w:hAnsi="仿宋_GB2312" w:cs="仿宋_GB2312" w:eastAsia="仿宋_GB2312"/>
        </w:rPr>
        <w:t>5、有依法缴纳税收和社会保障资金的良好记录：提供2025年1月至今已缴纳的至少一个月的税收（时间以税款所属日期为准）缴纳证明（或完税证明）及社会保障资金缴纳证明，依法免缴的单位应提供相关证明材料；其他组织和自然人也须提供；</w:t>
      </w:r>
    </w:p>
    <w:p>
      <w:pPr>
        <w:pStyle w:val="null3"/>
      </w:pPr>
      <w:r>
        <w:rPr>
          <w:rFonts w:ascii="仿宋_GB2312" w:hAnsi="仿宋_GB2312" w:cs="仿宋_GB2312" w:eastAsia="仿宋_GB2312"/>
        </w:rPr>
        <w:t>6、参加政府采购活动前三年内，在经营活动中没有重大违法记录：参加本次政府采购活动前三年内在经营活动中 没有重大违纪，以及未被列入失信被执行人、重大税收违法案件当事人名单、政府采购严重违法失信行为记录名单的书面声明（原件，并附“信用中国”网站（www.creditchina.gov.cn)、中国政府采购网（www.ccgp.gov.cn）查询结果截图并加盖公章）；</w:t>
      </w:r>
    </w:p>
    <w:p>
      <w:pPr>
        <w:pStyle w:val="null3"/>
      </w:pPr>
      <w:r>
        <w:rPr>
          <w:rFonts w:ascii="仿宋_GB2312" w:hAnsi="仿宋_GB2312" w:cs="仿宋_GB2312" w:eastAsia="仿宋_GB2312"/>
        </w:rPr>
        <w:t>7、企业资质：供应商应具备《网络安全等级保护测评与检测评估机构服务认证证书》；</w:t>
      </w:r>
    </w:p>
    <w:p>
      <w:pPr>
        <w:pStyle w:val="null3"/>
      </w:pPr>
      <w:r>
        <w:rPr>
          <w:rFonts w:ascii="仿宋_GB2312" w:hAnsi="仿宋_GB2312" w:cs="仿宋_GB2312" w:eastAsia="仿宋_GB2312"/>
        </w:rPr>
        <w:t>8、其他承诺：法定代表人、控股股东或实际控制人不得与西安市中心医院高管或采购相关部门关键岗位人员有夫妻、直系血亲、三代以内旁系血亲或者近姻亲关系，供应商应对此出具书面承诺；</w:t>
      </w:r>
    </w:p>
    <w:p>
      <w:pPr>
        <w:pStyle w:val="null3"/>
      </w:pPr>
      <w:r>
        <w:rPr>
          <w:rFonts w:ascii="仿宋_GB2312" w:hAnsi="仿宋_GB2312" w:cs="仿宋_GB2312" w:eastAsia="仿宋_GB2312"/>
        </w:rPr>
        <w:t>9、非联合体声明：本项目不接受联合体磋商，提供非联合体声明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中智达项目管理有限公司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陕西省西安市经开区凤城四路世融国际22层2205室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029-84527819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参考《国家计委关于印发〈招标代理服务费管理暂行办法〉的通知》（计价格【2002】1980号）、《国家发展和改革委员会办公厅关于招标代理服务收费有关问题的通知》（发改办价格〔2003〕857号）规定收取，不足肆仟元按肆仟元收取，由成交供应商支付招标代理服务费； 2、成交供应商在领取成交通知书前须一次性足额向采购代理机构交纳代理服务费，代理服务费以转账或现金形式缴纳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中智达项目管理有限公司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中智达项目管理有限公司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联系人：李亚娟</w:t>
      </w:r>
    </w:p>
    <w:p>
      <w:pPr>
        <w:pStyle w:val="null3"/>
      </w:pPr>
      <w:r>
        <w:rPr>
          <w:rFonts w:ascii="仿宋_GB2312" w:hAnsi="仿宋_GB2312" w:cs="仿宋_GB2312" w:eastAsia="仿宋_GB2312"/>
        </w:rPr>
        <w:t>联系电话：029-84527819</w:t>
      </w:r>
    </w:p>
    <w:p>
      <w:pPr>
        <w:pStyle w:val="null3"/>
      </w:pPr>
      <w:r>
        <w:rPr>
          <w:rFonts w:ascii="仿宋_GB2312" w:hAnsi="仿宋_GB2312" w:cs="仿宋_GB2312" w:eastAsia="仿宋_GB2312"/>
        </w:rPr>
        <w:t>地址：陕西省西安市经开区凤城四路世融国际22层2205室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西安市中心医院的重要网络系统安全运行，落实《中华人民共和国网络安全法》《信息安全等级保护管理办法》等国家法律法规要求，结合我单位的实际情况，现对西安市中心医院2个信息系统（his系统、线上支付平台）开展网络安全等级保护测评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等级保护测评服务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标的名称：等级保护测评服务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服务总体要求：</w:t>
            </w:r>
          </w:p>
          <w:p>
            <w:pPr>
              <w:pStyle w:val="null3"/>
              <w:jc w:val="both"/>
            </w:pPr>
            <w:r>
              <w:rPr>
                <w:rFonts w:ascii="仿宋_GB2312" w:hAnsi="仿宋_GB2312" w:cs="仿宋_GB2312" w:eastAsia="仿宋_GB2312"/>
                <w:sz w:val="20"/>
              </w:rPr>
              <w:t>1)测评服务要求：依据《基本要求》（GB/T 22239-2019）、测评要求》（GB/T 28448-2019）和《测评过程指南》（GB/T 28449-2018）等国家关于网络安全等级保护的相关标准和规范要求，为医院提供相应级别信息系统等级保护测评实施工作，包括安全物理环境、安全通信网络、安全区域边界、安全计算环境、安全管理中心测评，以及安全管理制度、安全管理机构、安全管理人员、安全建设管理、安全运维管理测评。</w:t>
            </w:r>
          </w:p>
          <w:p>
            <w:pPr>
              <w:pStyle w:val="null3"/>
              <w:jc w:val="both"/>
            </w:pPr>
            <w:r>
              <w:rPr>
                <w:rFonts w:ascii="仿宋_GB2312" w:hAnsi="仿宋_GB2312" w:cs="仿宋_GB2312" w:eastAsia="仿宋_GB2312"/>
                <w:sz w:val="20"/>
              </w:rPr>
              <w:t>2)渗透测试服务要求：服务商的渗透测试工程师要模拟恶意黑客的攻击方法，来对医院系统的安全性进行检测评估。对系统和网络进行非破坏性质的攻击性测试，尝试侵入系统，获取系统控制权并将入侵的过程和细节产生报告，由此证实系统所存在的安全威胁和风险，及时提示开发人员修复安全漏洞，提醒安全管理员完善安全策略，提升系统安全防护能力，为保证本次项目渗透的质量，参与本项目的项目经理需要参与过测评机构能力验证。</w:t>
            </w:r>
          </w:p>
          <w:p>
            <w:pPr>
              <w:pStyle w:val="null3"/>
              <w:jc w:val="both"/>
            </w:pPr>
            <w:r>
              <w:rPr>
                <w:rFonts w:ascii="仿宋_GB2312" w:hAnsi="仿宋_GB2312" w:cs="仿宋_GB2312" w:eastAsia="仿宋_GB2312"/>
                <w:sz w:val="20"/>
              </w:rPr>
              <w:t>3)服务质量保证要求：服务商应能根据质量体系要求建立科学的质量保证体系，从人员配备、工具保障以及科学的测评方法论、工作过程等多方面保证项目实施过程的质量。通过“项目调研-计划编制-方案编制-现场测评-编制测评报告”几个环节严格执行，并在重要环节进行文档评审，保证报告结论准确性。</w:t>
            </w:r>
          </w:p>
          <w:p>
            <w:pPr>
              <w:pStyle w:val="null3"/>
              <w:jc w:val="both"/>
            </w:pPr>
            <w:r>
              <w:rPr>
                <w:rFonts w:ascii="仿宋_GB2312" w:hAnsi="仿宋_GB2312" w:cs="仿宋_GB2312" w:eastAsia="仿宋_GB2312"/>
                <w:sz w:val="20"/>
              </w:rPr>
              <w:t>要求服务商测评过程中使用专用测评设备，并配备国家权威机构认证的测评漏洞扫描工具，工具应具有相关采购证明材料。</w:t>
            </w:r>
          </w:p>
          <w:p>
            <w:pPr>
              <w:pStyle w:val="null3"/>
              <w:jc w:val="both"/>
            </w:pPr>
            <w:r>
              <w:rPr>
                <w:rFonts w:ascii="仿宋_GB2312" w:hAnsi="仿宋_GB2312" w:cs="仿宋_GB2312" w:eastAsia="仿宋_GB2312"/>
                <w:sz w:val="20"/>
              </w:rPr>
              <w:t>4)服务商须服从医院的统一协调，且必须在项目实施期间由服务商派驻有丰富实施经验的信息安全等级保护测评中级及以上测评师为项目实施团队主要负责人和核心成员，全程参与项目实施。</w:t>
            </w:r>
          </w:p>
          <w:p>
            <w:pPr>
              <w:pStyle w:val="null3"/>
              <w:jc w:val="both"/>
            </w:pPr>
            <w:r>
              <w:rPr>
                <w:rFonts w:ascii="仿宋_GB2312" w:hAnsi="仿宋_GB2312" w:cs="仿宋_GB2312" w:eastAsia="仿宋_GB2312"/>
                <w:sz w:val="20"/>
              </w:rPr>
              <w:t>5)服务商须提供完善的测评实施方案和计划、测评方案，经我单位审核通过后实施，并完成我单位对安全管理制度的补充完善和整理工作，配合对我单位信息系统进行整改测评服务。</w:t>
            </w:r>
          </w:p>
          <w:p>
            <w:pPr>
              <w:pStyle w:val="null3"/>
              <w:jc w:val="both"/>
            </w:pPr>
            <w:r>
              <w:rPr>
                <w:rFonts w:ascii="仿宋_GB2312" w:hAnsi="仿宋_GB2312" w:cs="仿宋_GB2312" w:eastAsia="仿宋_GB2312"/>
                <w:sz w:val="20"/>
              </w:rPr>
              <w:t>6)服务商须与招标人签订项目合同、保密协议和现场评测授权书、风险预判告知书，核实驻场测评师资质与投标时对本项目配备的测评师是否一致。确因工作调配需更换测评师，需提前 10 个工作日向招标人运维部门负责人员书面报备，并提供更换测评师资质证明。</w:t>
            </w:r>
          </w:p>
          <w:p>
            <w:pPr>
              <w:pStyle w:val="null3"/>
              <w:jc w:val="both"/>
            </w:pPr>
            <w:r>
              <w:rPr>
                <w:rFonts w:ascii="仿宋_GB2312" w:hAnsi="仿宋_GB2312" w:cs="仿宋_GB2312" w:eastAsia="仿宋_GB2312"/>
                <w:sz w:val="20"/>
              </w:rPr>
              <w:t>7)测评结束后，服务方需免费提供整改咨询服务和免费质保服务，并提供为期一年的售后服务，就本项目成果中的具体内容提供解释，提供信息系统等级保护相关工作的技术支持和咨询服务，以帮助医院提高安全防护能力。</w:t>
            </w:r>
          </w:p>
          <w:p>
            <w:pPr>
              <w:pStyle w:val="null3"/>
              <w:jc w:val="both"/>
            </w:pPr>
            <w:r>
              <w:rPr>
                <w:rFonts w:ascii="仿宋_GB2312" w:hAnsi="仿宋_GB2312" w:cs="仿宋_GB2312" w:eastAsia="仿宋_GB2312"/>
                <w:sz w:val="20"/>
              </w:rPr>
              <w:t>8)安全需求分析及设计服务要求：为保障医院重要信息系统的安全防护能力，服务商需对其信息系统提供安全需求分析，并且对医院的信息系统做安全方案设计，提出有针对性的安全规划方案。</w:t>
            </w:r>
          </w:p>
          <w:p>
            <w:pPr>
              <w:pStyle w:val="null3"/>
              <w:jc w:val="both"/>
            </w:pPr>
            <w:r>
              <w:rPr>
                <w:rFonts w:ascii="仿宋_GB2312" w:hAnsi="仿宋_GB2312" w:cs="仿宋_GB2312" w:eastAsia="仿宋_GB2312"/>
                <w:sz w:val="20"/>
              </w:rPr>
              <w:t>9)应急响应及应急处理要求：服务商在测评项目结束后，要提供至少一年的信息安全应急处理保障。一旦被测系统出现紧急重大安全事件，收到医院的服务请求，测评单位工程师在 3 小时内到达用户现场，提供服务。</w:t>
            </w:r>
          </w:p>
          <w:p>
            <w:pPr>
              <w:pStyle w:val="null3"/>
              <w:jc w:val="both"/>
            </w:pPr>
            <w:r>
              <w:rPr>
                <w:rFonts w:ascii="仿宋_GB2312" w:hAnsi="仿宋_GB2312" w:cs="仿宋_GB2312" w:eastAsia="仿宋_GB2312"/>
                <w:sz w:val="20"/>
              </w:rPr>
              <w:t>10)安全咨询服务：服务商在测评项目结束后，要提供至少一年的安全咨询服务，包括但不限于安全技术咨询、安全整改建设咨询、管理制度及国家法规等，服务商需提供咨询建议和方案建议。</w:t>
            </w:r>
          </w:p>
          <w:p>
            <w:pPr>
              <w:pStyle w:val="null3"/>
              <w:jc w:val="both"/>
            </w:pPr>
            <w:r>
              <w:rPr>
                <w:rFonts w:ascii="仿宋_GB2312" w:hAnsi="仿宋_GB2312" w:cs="仿宋_GB2312" w:eastAsia="仿宋_GB2312"/>
                <w:sz w:val="20"/>
              </w:rPr>
              <w:t>11)安全培训服务：服务商需提供网络安全培训服务 2 次，培训内容包括网络安全意识、网络安全技术、网络安全政策法规等。</w:t>
            </w:r>
          </w:p>
          <w:p>
            <w:pPr>
              <w:pStyle w:val="null3"/>
              <w:jc w:val="both"/>
            </w:pPr>
            <w:r>
              <w:rPr>
                <w:rFonts w:ascii="仿宋_GB2312" w:hAnsi="仿宋_GB2312" w:cs="仿宋_GB2312" w:eastAsia="仿宋_GB2312"/>
                <w:sz w:val="20"/>
              </w:rPr>
              <w:t>12)重保服务：根据医院的实际需要，在重大节日活动、重要会议召开前等关键时间点提供专业安全保障服务。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测评系统：</w:t>
            </w:r>
          </w:p>
          <w:p>
            <w:pPr>
              <w:pStyle w:val="null3"/>
              <w:jc w:val="both"/>
            </w:pPr>
            <w:r>
              <w:rPr>
                <w:rFonts w:ascii="仿宋_GB2312" w:hAnsi="仿宋_GB2312" w:cs="仿宋_GB2312" w:eastAsia="仿宋_GB2312"/>
                <w:sz w:val="20"/>
              </w:rPr>
              <w:t>西安市中心医院</w:t>
            </w:r>
            <w:r>
              <w:rPr>
                <w:rFonts w:ascii="仿宋_GB2312" w:hAnsi="仿宋_GB2312" w:cs="仿宋_GB2312" w:eastAsia="仿宋_GB2312"/>
                <w:sz w:val="20"/>
              </w:rPr>
              <w:t>2个信息系统</w:t>
            </w:r>
          </w:p>
          <w:tbl>
            <w:tblPr>
              <w:tblInd w:type="dxa" w:w="135"/>
              <w:tblBorders>
                <w:top w:val="none" w:color="000000" w:sz="4"/>
                <w:left w:val="none" w:color="000000" w:sz="4"/>
                <w:bottom w:val="none" w:color="000000" w:sz="4"/>
                <w:right w:val="none" w:color="000000" w:sz="4"/>
                <w:insideH w:val="none"/>
                <w:insideV w:val="none"/>
              </w:tblBorders>
            </w:tblPr>
            <w:tblGrid>
              <w:gridCol w:w="242"/>
              <w:gridCol w:w="1258"/>
              <w:gridCol w:w="407"/>
              <w:gridCol w:w="645"/>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系统名称</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评审级别</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HIS系统</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第三级</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信息科</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线上服务平台</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第三级</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信息科</w:t>
                  </w:r>
                </w:p>
              </w:tc>
            </w:tr>
          </w:tbl>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项目管理要求：</w:t>
            </w:r>
          </w:p>
          <w:p>
            <w:pPr>
              <w:pStyle w:val="null3"/>
              <w:jc w:val="both"/>
            </w:pPr>
            <w:r>
              <w:rPr>
                <w:rFonts w:ascii="仿宋_GB2312" w:hAnsi="仿宋_GB2312" w:cs="仿宋_GB2312" w:eastAsia="仿宋_GB2312"/>
                <w:sz w:val="20"/>
              </w:rPr>
              <w:t>3.1项目管理总体要求</w:t>
            </w:r>
          </w:p>
          <w:p>
            <w:pPr>
              <w:pStyle w:val="null3"/>
              <w:jc w:val="both"/>
            </w:pPr>
            <w:r>
              <w:rPr>
                <w:rFonts w:ascii="仿宋_GB2312" w:hAnsi="仿宋_GB2312" w:cs="仿宋_GB2312" w:eastAsia="仿宋_GB2312"/>
                <w:sz w:val="20"/>
              </w:rPr>
              <w:t>服务商应在被医院统一组织协调下，开展好前期调研、现场实施和报告撰写等工作。供应商所提供的项目经理和实施人员应是具有丰富经验和专业技能的技术骨干，应有同类项目经验。在供应商以往参与的项目中，应具有项目实施、熟悉项目需求和团队建设方面的优势。供应商应在项目全过程中严格遵循各项管理制度的要求，确保项目顺利开展。</w:t>
            </w:r>
          </w:p>
          <w:p>
            <w:pPr>
              <w:pStyle w:val="null3"/>
              <w:jc w:val="both"/>
            </w:pPr>
            <w:r>
              <w:rPr>
                <w:rFonts w:ascii="仿宋_GB2312" w:hAnsi="仿宋_GB2312" w:cs="仿宋_GB2312" w:eastAsia="仿宋_GB2312"/>
                <w:sz w:val="20"/>
              </w:rPr>
              <w:t>本项目测评驻场人员要求：承担本次测评工作的供应商至少有</w:t>
            </w:r>
            <w:r>
              <w:rPr>
                <w:rFonts w:ascii="仿宋_GB2312" w:hAnsi="仿宋_GB2312" w:cs="仿宋_GB2312" w:eastAsia="仿宋_GB2312"/>
                <w:sz w:val="20"/>
              </w:rPr>
              <w:t>1名高级测评师，2名中级测评师,2名初级测评师。本次等保测评服务不得转包或者分包，所有驻场测评师必须是供应商自己的正式在职员工,所有驻场测评师必须持证上岗，响应文件中应提供项目组驻场人员名单以及社保主管部门出具的响应单位为其缴纳社保的证明、驻场人员信息安全等级测评师证书复印件及原件，未经采购方同意，项目组成员不得更改。</w:t>
            </w:r>
          </w:p>
          <w:p>
            <w:pPr>
              <w:pStyle w:val="null3"/>
              <w:jc w:val="both"/>
            </w:pPr>
            <w:r>
              <w:rPr>
                <w:rFonts w:ascii="仿宋_GB2312" w:hAnsi="仿宋_GB2312" w:cs="仿宋_GB2312" w:eastAsia="仿宋_GB2312"/>
                <w:sz w:val="20"/>
              </w:rPr>
              <w:t>3.2项目管理保密要求</w:t>
            </w:r>
          </w:p>
          <w:p>
            <w:pPr>
              <w:pStyle w:val="null3"/>
              <w:jc w:val="both"/>
            </w:pPr>
            <w:r>
              <w:rPr>
                <w:rFonts w:ascii="仿宋_GB2312" w:hAnsi="仿宋_GB2312" w:cs="仿宋_GB2312" w:eastAsia="仿宋_GB2312"/>
                <w:sz w:val="20"/>
              </w:rPr>
              <w:t>供应商应与投标人签订正式保密协议，并在工作中坚持保密原则，确保应答人及其员工严格规范执行各项保密制度，杜绝任何泄密事件的发生。供应商需明确将采取的保密措施，对员工的保密管理措施，以及一旦发生泄密事件将采取的措施、需承担的责任。</w:t>
            </w:r>
          </w:p>
          <w:p>
            <w:pPr>
              <w:pStyle w:val="null3"/>
              <w:jc w:val="both"/>
            </w:pPr>
            <w:r>
              <w:rPr>
                <w:rFonts w:ascii="仿宋_GB2312" w:hAnsi="仿宋_GB2312" w:cs="仿宋_GB2312" w:eastAsia="仿宋_GB2312"/>
                <w:sz w:val="20"/>
              </w:rPr>
              <w:t>3.3项目风险控制</w:t>
            </w:r>
          </w:p>
          <w:p>
            <w:pPr>
              <w:pStyle w:val="null3"/>
              <w:jc w:val="both"/>
            </w:pPr>
            <w:r>
              <w:rPr>
                <w:rFonts w:ascii="仿宋_GB2312" w:hAnsi="仿宋_GB2312" w:cs="仿宋_GB2312" w:eastAsia="仿宋_GB2312"/>
                <w:sz w:val="20"/>
              </w:rPr>
              <w:t>供应商应能够对信息安全等级测评项目过程进行充分的风险考虑，并制定相应的风险规避措施和控制方法。在项目实施过程中，应做好计划与安排，不影响投标人正常业务工作的开展。</w:t>
            </w:r>
          </w:p>
          <w:p>
            <w:pPr>
              <w:pStyle w:val="null3"/>
              <w:jc w:val="both"/>
            </w:pPr>
            <w:r>
              <w:rPr>
                <w:rFonts w:ascii="仿宋_GB2312" w:hAnsi="仿宋_GB2312" w:cs="仿宋_GB2312" w:eastAsia="仿宋_GB2312"/>
                <w:sz w:val="20"/>
              </w:rPr>
              <w:t>4、测评服务原则</w:t>
            </w:r>
          </w:p>
          <w:p>
            <w:pPr>
              <w:pStyle w:val="null3"/>
              <w:jc w:val="both"/>
            </w:pPr>
            <w:r>
              <w:rPr>
                <w:rFonts w:ascii="仿宋_GB2312" w:hAnsi="仿宋_GB2312" w:cs="仿宋_GB2312" w:eastAsia="仿宋_GB2312"/>
                <w:sz w:val="20"/>
              </w:rPr>
              <w:t>为保障项目的顺利实施，在项目实施过程须遵循以下原则：</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1）规范性原则</w:t>
            </w:r>
          </w:p>
          <w:p>
            <w:pPr>
              <w:pStyle w:val="null3"/>
              <w:jc w:val="both"/>
            </w:pPr>
            <w:r>
              <w:rPr>
                <w:rFonts w:ascii="仿宋_GB2312" w:hAnsi="仿宋_GB2312" w:cs="仿宋_GB2312" w:eastAsia="仿宋_GB2312"/>
                <w:sz w:val="20"/>
              </w:rPr>
              <w:t>加强项目管理，在人员、质量和时间进度等方面进行严格管控。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2）标准化原则</w:t>
            </w:r>
          </w:p>
          <w:p>
            <w:pPr>
              <w:pStyle w:val="null3"/>
              <w:jc w:val="both"/>
            </w:pPr>
            <w:r>
              <w:rPr>
                <w:rFonts w:ascii="仿宋_GB2312" w:hAnsi="仿宋_GB2312" w:cs="仿宋_GB2312" w:eastAsia="仿宋_GB2312"/>
                <w:sz w:val="20"/>
              </w:rPr>
              <w:t>测评过程须严格遵守国家的相关法律、法规、规范、标准等相关要求。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3）完整性原则</w:t>
            </w:r>
          </w:p>
          <w:p>
            <w:pPr>
              <w:pStyle w:val="null3"/>
              <w:jc w:val="both"/>
            </w:pPr>
            <w:r>
              <w:rPr>
                <w:rFonts w:ascii="仿宋_GB2312" w:hAnsi="仿宋_GB2312" w:cs="仿宋_GB2312" w:eastAsia="仿宋_GB2312"/>
                <w:sz w:val="20"/>
              </w:rPr>
              <w:t>在测评过程中，必须确保测评数据、过程记录的完整性。评测内容要综合考虑所有评测对象的技术措施，并建立完整有效的评测流程，保证不存在影响评测结果的疏忽或遗漏。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4）保密性原则</w:t>
            </w:r>
          </w:p>
          <w:p>
            <w:pPr>
              <w:pStyle w:val="null3"/>
              <w:jc w:val="both"/>
            </w:pPr>
            <w:r>
              <w:rPr>
                <w:rFonts w:ascii="仿宋_GB2312" w:hAnsi="仿宋_GB2312" w:cs="仿宋_GB2312" w:eastAsia="仿宋_GB2312"/>
                <w:sz w:val="20"/>
              </w:rPr>
              <w:t>在测评过程中，切实加强对人员、技术等方面的组织管理；与采购人签署具有法律意义的保密协议，确保在项目实施过程中涉及的所有信息，不会泄露给第三方单位或个人，不得擅自利用这些信息。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5）影响最小原则</w:t>
            </w:r>
          </w:p>
          <w:p>
            <w:pPr>
              <w:pStyle w:val="null3"/>
              <w:jc w:val="both"/>
            </w:pPr>
            <w:r>
              <w:rPr>
                <w:rFonts w:ascii="仿宋_GB2312" w:hAnsi="仿宋_GB2312" w:cs="仿宋_GB2312" w:eastAsia="仿宋_GB2312"/>
                <w:sz w:val="20"/>
              </w:rPr>
              <w:t>在项目实施的过程中，须充分考虑到相关活动对系统正常运行的不利影响，采取必要的措施将相关风险降到最低。</w:t>
            </w:r>
          </w:p>
          <w:p>
            <w:pPr>
              <w:pStyle w:val="null3"/>
              <w:jc w:val="both"/>
            </w:pPr>
            <w:r>
              <w:rPr>
                <w:rFonts w:ascii="仿宋_GB2312" w:hAnsi="仿宋_GB2312" w:cs="仿宋_GB2312" w:eastAsia="仿宋_GB2312"/>
                <w:sz w:val="20"/>
              </w:rPr>
              <w:t>5、实施流程及工作内容要求：</w:t>
            </w:r>
          </w:p>
          <w:p>
            <w:pPr>
              <w:pStyle w:val="null3"/>
              <w:jc w:val="both"/>
            </w:pPr>
            <w:r>
              <w:rPr>
                <w:rFonts w:ascii="仿宋_GB2312" w:hAnsi="仿宋_GB2312" w:cs="仿宋_GB2312" w:eastAsia="仿宋_GB2312"/>
                <w:sz w:val="20"/>
              </w:rPr>
              <w:t>投标人应按照国家相关要求，从</w:t>
            </w:r>
            <w:r>
              <w:rPr>
                <w:rFonts w:ascii="仿宋_GB2312" w:hAnsi="仿宋_GB2312" w:cs="仿宋_GB2312" w:eastAsia="仿宋_GB2312"/>
                <w:sz w:val="20"/>
              </w:rPr>
              <w:t>“定级-备案-等级测评-安全建设整改-配合监督检查”5个环节配合采购单位做好等级保护工作。其中针对等级测评工作过程，依据《信息安全技术 网络安全等级保护基本要求》（GB/T 22239-2019）、《信息安全技术 网络安全等级保护测评要求》（GB/T 28448-2019）和《信息安全技术 网络安全等级保护测评过程指南》（GB/T 28449-2018）等国家关于信息系统安全等级保护的相关标准和规范要求，要求参选人严格按照下列流程开展工作：</w:t>
            </w:r>
          </w:p>
          <w:p>
            <w:pPr>
              <w:pStyle w:val="null3"/>
              <w:jc w:val="both"/>
            </w:pPr>
            <w:r>
              <w:drawing>
                <wp:inline distT="0" distR="0" distB="0" distL="0">
                  <wp:extent cx="1621155" cy="258752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587521"/>
                          </a:xfrm>
                          <a:prstGeom prst="rect">
                            <a:avLst/>
                          </a:prstGeom>
                        </pic:spPr>
                      </pic:pic>
                    </a:graphicData>
                  </a:graphic>
                </wp:inline>
              </w:drawing>
            </w:r>
          </w:p>
          <w:p>
            <w:pPr>
              <w:pStyle w:val="null3"/>
              <w:jc w:val="both"/>
            </w:pPr>
            <w:r>
              <w:rPr>
                <w:rFonts w:ascii="仿宋_GB2312" w:hAnsi="仿宋_GB2312" w:cs="仿宋_GB2312" w:eastAsia="仿宋_GB2312"/>
                <w:sz w:val="20"/>
              </w:rPr>
              <w:t>测评准备阶段：是开展等级测评工作的前提和基础，是整个等级测评过程有效性的保证。测评准备工作是否充分直接关系到后续工作能否顺利开展。本活动的主要任务是掌握被测系统的详细情况，准备测试工具，为编制测评方案做好准备。</w:t>
            </w:r>
          </w:p>
          <w:p>
            <w:pPr>
              <w:pStyle w:val="null3"/>
              <w:jc w:val="both"/>
            </w:pPr>
            <w:r>
              <w:rPr>
                <w:rFonts w:ascii="仿宋_GB2312" w:hAnsi="仿宋_GB2312" w:cs="仿宋_GB2312" w:eastAsia="仿宋_GB2312"/>
                <w:sz w:val="20"/>
              </w:rPr>
              <w:t>方案编制阶段：是开展等级测评工作的关键活动，为现场测评提供最基本的文档和指导方案。本活动的主要任务是确定与被测信息系统相适应的测评对象、测评指标及测评内容等，并根据需要重用或开发测评指导书，形成测评方案。</w:t>
            </w:r>
          </w:p>
          <w:p>
            <w:pPr>
              <w:pStyle w:val="null3"/>
              <w:jc w:val="both"/>
            </w:pPr>
            <w:r>
              <w:rPr>
                <w:rFonts w:ascii="仿宋_GB2312" w:hAnsi="仿宋_GB2312" w:cs="仿宋_GB2312" w:eastAsia="仿宋_GB2312"/>
                <w:sz w:val="20"/>
              </w:rPr>
              <w:t>现场测评阶段：是开展等级测评工作的核心活动。本活动的主要任务是按照测评方案的总体要求，严格按照测评指导书执行，分步实施所有测评项目，以了解系统的真实保护情况，获取足够证据，发现系统存在的安全问题。</w:t>
            </w:r>
          </w:p>
          <w:p>
            <w:pPr>
              <w:pStyle w:val="null3"/>
              <w:jc w:val="both"/>
            </w:pPr>
            <w:r>
              <w:rPr>
                <w:rFonts w:ascii="仿宋_GB2312" w:hAnsi="仿宋_GB2312" w:cs="仿宋_GB2312" w:eastAsia="仿宋_GB2312"/>
                <w:sz w:val="20"/>
              </w:rPr>
              <w:t>分析与报告编制阶段：是给出等级测评工作结果的活动，是总结被测系统整体安全保护能力的综合评价活动。本活动的主要任务是根据现场测评结果和《信息安全技术</w:t>
            </w:r>
            <w:r>
              <w:rPr>
                <w:rFonts w:ascii="仿宋_GB2312" w:hAnsi="仿宋_GB2312" w:cs="仿宋_GB2312" w:eastAsia="仿宋_GB2312"/>
                <w:sz w:val="20"/>
              </w:rPr>
              <w:t>网络安全等级保护实施指南》的有关要求，通过单项测评结果判定、单元测评结果判定、整体测评和风险分析等方法，找出整个系统的安全保护现状与相应等级的保护要求之间的差距，并分析这些差距导致被测系统面临的风险，从而给出等级测评结论，形成《网络系统安全等级保护</w:t>
            </w:r>
            <w:r>
              <w:rPr>
                <w:rFonts w:ascii="仿宋_GB2312" w:hAnsi="仿宋_GB2312" w:cs="仿宋_GB2312" w:eastAsia="仿宋_GB2312"/>
                <w:sz w:val="20"/>
              </w:rPr>
              <w:t>XXX系统等级测评报告》文本。</w:t>
            </w:r>
          </w:p>
          <w:p>
            <w:pPr>
              <w:pStyle w:val="null3"/>
              <w:jc w:val="both"/>
            </w:pPr>
            <w:r>
              <w:rPr>
                <w:rFonts w:ascii="仿宋_GB2312" w:hAnsi="仿宋_GB2312" w:cs="仿宋_GB2312" w:eastAsia="仿宋_GB2312"/>
                <w:sz w:val="20"/>
              </w:rPr>
              <w:t>建设整改咨询阶段：建设整改咨询工作以等级测评发现的安全问题为工作重点，以及测评报告中安全建设整改建议；将信息系统的安全建设整改需求落实到可操作的安全技术和管理上，提出能够实现的技术参数或制度及其具体规范。并依据测评报告中安全建设整改建议开展建设整改工作时，投标人将提供建设整改过程中的与建设整改相关的咨询服务。</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.1测评指标：</w:t>
            </w:r>
          </w:p>
          <w:p>
            <w:pPr>
              <w:pStyle w:val="null3"/>
              <w:jc w:val="both"/>
            </w:pPr>
            <w:r>
              <w:rPr>
                <w:rFonts w:ascii="仿宋_GB2312" w:hAnsi="仿宋_GB2312" w:cs="仿宋_GB2312" w:eastAsia="仿宋_GB2312"/>
                <w:sz w:val="20"/>
              </w:rPr>
              <w:t>三级要求指标：</w:t>
            </w:r>
          </w:p>
          <w:tbl>
            <w:tblPr>
              <w:tblInd w:type="dxa" w:w="120"/>
              <w:tblBorders>
                <w:top w:val="none" w:color="000000" w:sz="4"/>
                <w:left w:val="none" w:color="000000" w:sz="4"/>
                <w:bottom w:val="none" w:color="000000" w:sz="4"/>
                <w:right w:val="none" w:color="000000" w:sz="4"/>
                <w:insideH w:val="none"/>
                <w:insideV w:val="none"/>
              </w:tblBorders>
            </w:tblPr>
            <w:tblGrid>
              <w:gridCol w:w="347"/>
              <w:gridCol w:w="530"/>
              <w:gridCol w:w="1676"/>
            </w:tblGrid>
            <w:tr>
              <w:tc>
                <w:tcPr>
                  <w:tcW w:type="dxa" w:w="34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安全层面</w:t>
                  </w:r>
                </w:p>
              </w:tc>
              <w:tc>
                <w:tcPr>
                  <w:tcW w:type="dxa" w:w="53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安全控制点</w:t>
                  </w:r>
                </w:p>
              </w:tc>
              <w:tc>
                <w:tcPr>
                  <w:tcW w:type="dxa" w:w="167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测评指标（</w:t>
                  </w:r>
                  <w:r>
                    <w:rPr>
                      <w:rFonts w:ascii="仿宋_GB2312" w:hAnsi="仿宋_GB2312" w:cs="仿宋_GB2312" w:eastAsia="仿宋_GB2312"/>
                      <w:sz w:val="20"/>
                    </w:rPr>
                    <w:t>2.0）</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安全物理环境</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物理位置选择</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a)机房和办公场地应选择在具有防震、防风和防雨等能力的建筑内；</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b)机房场地应避免设在建筑物的高层或地下室，否则应加强防水和防潮措施。</w:t>
                  </w:r>
                </w:p>
              </w:tc>
            </w:tr>
            <w:tr>
              <w:tc>
                <w:tcPr>
                  <w:tcW w:type="dxa" w:w="347"/>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物理访问控制</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a)机房出入口应配置电子门禁系统，控制、鉴别和记录进入的人员。</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防盗窃和防破坏</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a)应将设备或主要部件进行固定，并设置明显的不易除去的标识；</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b)应将通信线缆铺设在隐蔽安全处；</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c)应设置机房防盗报警系统或设置有专人值守的视频</w:t>
                  </w:r>
                  <w:r>
                    <w:drawing>
                      <wp:inline distT="0" distR="0" distB="0" distL="0">
                        <wp:extent cx="608363" cy="21292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608363" cy="212927"/>
                                </a:xfrm>
                                <a:prstGeom prst="rect">
                                  <a:avLst/>
                                </a:prstGeom>
                              </pic:spPr>
                            </pic:pic>
                          </a:graphicData>
                        </a:graphic>
                      </wp:inline>
                    </w:drawing>
                  </w:r>
                  <w:r>
                    <w:rPr>
                      <w:rFonts w:ascii="仿宋_GB2312" w:hAnsi="仿宋_GB2312" w:cs="仿宋_GB2312" w:eastAsia="仿宋_GB2312"/>
                      <w:sz w:val="20"/>
                    </w:rPr>
                    <w:t>。</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防雷击</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a)应将各类机柜、设施和设备等通过接地系统安全接地；</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b)应采取措施防止感应雷，例如设置防雷保安器或过压保护装置等。</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防火</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a)机房应设置火灾自动消防系统，能够自动检测火情、自动报警，并自动灭火；</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b)机房及相关的工作房间和辅助房应采用具有耐火等级的建筑材料；</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c)应对机房划分区域进行管理，区域和区域之间设置隔离防火措施。</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防水防潮</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a)应采取措施防止雨水通过机房窗户、屋顶和墙壁渗透；</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b)应采取措施防止机房内水蒸气结露和地下积水的转移与渗透；</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c)应安装对水敏感的检测仪表或元件，对机房进行防水检测和报警。</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防静电</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a)应采用防静电地板或地面并采用必要的接地防静电措施；</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b)应采取措施防止静电的产生，例如采用静电消除器、佩戴防静电手环等。</w:t>
                  </w:r>
                </w:p>
              </w:tc>
            </w:tr>
            <w:tr>
              <w:tc>
                <w:tcPr>
                  <w:tcW w:type="dxa" w:w="347"/>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温湿度控制</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a)应设置温湿度自动调节设施，使机房温湿度的变化在设备运行所允许的范围之内。</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电力供应</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a)应在机房供电线路上配置稳压器和过电压防护设备；</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b)应提供短期的备用电力供应，至少满足设备在断电情况下的正常运行要求；</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c)应设置冗余或并行的电力电缆线路为计算机系统供电。</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电磁防护</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a)电源线和通信线缆应隔离铺设，避免互相干扰；</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b)应对关键设备实施电磁屏蔽。</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安全通信网络</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网络架构</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a)应保证网络设备的业务处理能力满足业务高峰期需要；</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b)应保证网络各个部分的带宽满足业务高峰期需要；</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c)应划分不同的网络区域，并按照方便管理和控制的原则为各网络区域分配地址；</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d)应避免将重要网络区域部署在边界处，重要网络区域与其他网络区域之间应采取可靠的技术隔离手段；</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e)应提供通信线路、关键网络设备和关键计算设备的硬件冗余，保证系统的可用性。</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通信传输</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a)应采用校验技术或密码技术保证通信过程中数据的完整性；</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b)应采用密码技术保证通信过程中数据的保密性。</w:t>
                  </w:r>
                </w:p>
              </w:tc>
            </w:tr>
            <w:tr>
              <w:tc>
                <w:tcPr>
                  <w:tcW w:type="dxa" w:w="347"/>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可信验证</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可基于可信根对通信设备的系统引导程序、系统程序、重要配置参数和通信应用程序等进行可信验证，并在应用程序的关键执行环节进行动态可信验证，在监测到其可信性受到破坏后进行报警，并将验证结果形成审计记录送至安全管理中心。</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安全区域边界</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边界防护</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a)应保证跨越边界的访问和数据流通过边界设备提供的受控接口进行通信；</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b)应能够对非授权设备私自联到内部网络的行为进行检测或限制；</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c)应能够对内部用户非授权联到外部网络的行为进行检查或限制；</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d)应限制无线网络的使用，保证无线网络通过受控的边界设备接入内部网络。</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访问控制</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a)应在网络边界或区域之间根据访问控制策略设置访问控制规则，默认情况下除允许通信外受控接口拒绝所有通信；</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b)应删除多余或无效的控制规则，优化访问控制列表，并保证访问控制规则数量最小化；</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c)应对源地址、目的地址、源端口、目的端口和协议等进行检查，以允许/拒绝数据包进出；</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d)应能根据会话状态信息为进出数据流提供明确的允许/拒绝访问的能力；</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e)应对进出网络的数据流实现基于应用协议和应用内容的访问控制。</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入侵防范</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a)应在关键网络节点处检测、防止或限制从外部发起的网络攻击行为；</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b)应在关键网络节点处检测、防止或限制从内部发起的网络攻击行为；</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c)应采取技术措施对网络行为进行分析，实现对网络攻击特别是新型网络攻击行为的分析；</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d)当检测到攻击行为时，记录攻击源IP、攻击类型、攻击目的、攻击时间，在发生严重入侵事件时应提供报警。</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恶意代码和垃圾邮件防范</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a)应在关键网络节点处对恶意代码进行检测和清除，并维护恶意代码防护机制的升级和更新；</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b)应在关键网络节点处对垃圾邮件进行检测和防护，并维护垃圾邮件防护机制的升级和更新。</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安全审计</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a)应在网络边界，重要网络节点进行安全审计，审计覆盖到每个用户，对重要的用户行为和重要安全事件进行审计；</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b)审计记录应包括事件的日期、用户、事件类型、事件是否成功及其他与审计相关的信息；</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c)应对审计记录进行保护，定期备份，避免受到未预期的删除、修改或覆盖等；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d)应能对远程访问的用户行为、访问互联网的用户行为等单独进行行为审计和数据分析。</w:t>
                  </w:r>
                </w:p>
              </w:tc>
            </w:tr>
            <w:tr>
              <w:tc>
                <w:tcPr>
                  <w:tcW w:type="dxa" w:w="347"/>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可信验证</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可基于可信根对边界设备的系统引导程序、系统程序、重要配置参数和边界防护应用程序等进行可信验证，并在应用程序的关键执行环节进行动态可信验证，在检测到其可信性受到破坏后进行报警，并将验证结果形成审计记录送至安全管理中心。</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安全计算环境</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身份鉴别</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a)应对登录的用户进行身份标识和鉴别，身份标识具有唯一性，身份鉴别信息具有复杂度要求并定期更换；</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b)应启用登陆失败处理功能，应配置并启用结束会话、限制非法登录次数和当登录连接超时时自动退出等相关措施；</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   当进行远程管理时，应采取必要措施防止鉴别信息在网络传输过程中被窃听；</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d)应采用口令、密码技术、生物技术等两种或两种以上组合的鉴别技术对用户进行身份鉴别，且其中一种鉴别技术至少应使用密码技术实现。</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访问控制</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a)应对登录的用户分配账户和权限；</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b)应重命名或删除默认账户，修改默认账户的默认口令；</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c)应及时删除或停用多余的，过期的账户，避免共享账户的存在；</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d)应授予管理用户所需的最小权限，实现管理用户的权限分离；</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e）应由授权主体配置访问控制策略，访问控制策略规定主体对客体的访问规则；</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f)访问控制的粒度应达到主体为用户级或进程级，客体为文件、数据库表级；</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g)应对重要主体和客体设置安全标记，并控制主体对有安全标记信息资源的访问。</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安全审计</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a)应启用安全审计功能，审计覆盖到每个用户，对重要的用户行为和重要安全事件进行审计；</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b)审计记录应包括事件的日期、时间、事件类型、事件是否成功及其他与审计相关的工作；</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c)应对审计记录进行保护，定期备份、避免受到未预期的删除、修改或覆盖等；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d)应对审计进程进行保护，防止未经授权的中断。</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入侵防范</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a)应遵循最小安装的原则，仅安装需要的组件和应用程序；</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b)应关闭不需要的系统服务、默认共享和高危端口；</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c)应通过设定终端接入方式或网络地址范围对通过网络进行管理的管理终端进行限制；</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d）应提供数据有效性检验功能，保证通过人机接口输入或通过通信接口输入的内容符合系统设定要求。</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e)应能发现可能存在的已知漏洞，并在经过充分测试评估后，及时修补漏洞；</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f)应能检测到对重要节点进行入侵的行为，并在发生严重入侵事件时提供报警。</w:t>
                  </w:r>
                </w:p>
              </w:tc>
            </w:tr>
            <w:tr>
              <w:tc>
                <w:tcPr>
                  <w:tcW w:type="dxa" w:w="347"/>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恶意代码防范</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a)应采用免受恶意代码攻击的技术措施，或主动免疫可信验证机制及时识别入侵和病毒行为，并将其有效阻断。</w:t>
                  </w:r>
                </w:p>
              </w:tc>
            </w:tr>
            <w:tr>
              <w:tc>
                <w:tcPr>
                  <w:tcW w:type="dxa" w:w="347"/>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可信验证</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可基于可信根对计算设备的系统引导程序、系统程序、重要配置参数和通信应用程序等进行可信验证，并在应用程序的关键执行环节进行动态可信验证，在检测到其可信性受到破坏后进行报警，并将验证结果形成审计记录送至安全管理中心。</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数据完整性</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a)应采用校验技术或密码技术保证重要数据在传输过程中的完整性，包括但不限于数据鉴别、重要业务数据、重要审计数据、重要配置数据、重要视频数据和重要个人信息等；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b)应采用校验技术或密码技术保证重要数据在存储过程中的完整性，包括但不限于数据鉴别、重要业务数据、重要审计数据、重要配置数据、重要视频数据和重要个人信息等。</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数据保密性</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a)应采用密码技术保证重要数据在传输过程中的保密性，包括但不限于数据鉴别、重要业务数据和重要个人信息等；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b)应采用密码技术保证重要数据在存储过程中的保密性，包括但不限于数据鉴别、重要业务数据和重要个人信息等。</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数据备份和恢复</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a)应提供重要数据的本地数据备份与恢复功能；</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b)应提供异地实时备份功能，利用通信网络将重要数据实时备份至备用场地；</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c)应提供重要数据处理系统的热冗余，保证系统的高可用性。</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剩余信息保护</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a)应保证鉴别信息所在的存储空间被释放或重新分配前得到完全清除；</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b)应保证存有敏感数据的存储空间被释放或重新分配前得到完全清除。</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个人信息保护</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a)应仅采集和保存业务必需的用户个人信息；</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b)应禁止未授权访问和非法使用用户个人信息。</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安全管理中心</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a)应对系统管理员进行身份鉴别，只允许其通过特定的命令或操作界面进行系统管理操作，并对这些操作进行审计；</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b）应通过系统管理员对系统的资源和运行进行配置、控制和管理，包括用户身份，系统资源配置、系统加载和启动、系统运行的异常处理、数据和设备的备份与恢复等。</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审计管理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 应对审计管理员进行身份鉴别，只允许其通过特定的命令或操作界面进行安全审计操作，并对这些操作进行审计；</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b)应通过审计管理员对审计记录进行分析，并根据分析结果进行处理，包括根据安全审计策略对审计记录进行存储、管理和查询。</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 应对安全管理员进行身份鉴别，只允许通过特定的命令或操作界面进行安全管理操作，并对这些操作进行审计；</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b)应通过安全管理员对系统中的安全策略进行配置，包括安全参数的设置，主体，客体进行统一安全标识，对主体进行授权，配置安全可信验证策略等。</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集中管控</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 应划分特定的管理区域，对分布在网络中的安全设备或安全组件进行管控；</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b)应能够建立一条安全的信息传输路径，对网络中的安全设备或安全组件进行管理；</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c）应对网络链路、安全设备、网络设备和服务器等的运行状况进行集中监测；</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d)应对分散在各个设备上的审计数据进行收集汇总和集中分析，并保证审计记录的留存时间符合法律法规要求；</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e）应对安全策略、安全代码、补丁升级等安全事项进行集中管理；</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f）应能对网络中发生的各类安全事件进行识别报警和分析。</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安全管理制度</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安全策略</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a）应制定网络安全工作的总体方针和安全策略，阐明机构安全工作的总体目标、范围、原则和安全框架等。</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管理制度</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a）应对安全管理活动中的各类管理内容建立安全管理制度;</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b）应对要求管理人员或操作人员执行的日常管理操作建立操作规程;</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c）应形成由安全策略，管理制度，操作规程，记录表单等构成安全管理制度体系。</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制定和发布</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a）应指定或授权专门的部门或人员负责安全管理制度的制定;</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d）安全管理制度应通过正式、有效的方式发布，并进行版本控制.</w:t>
                  </w:r>
                </w:p>
              </w:tc>
            </w:tr>
            <w:tr>
              <w:tc>
                <w:tcPr>
                  <w:tcW w:type="dxa" w:w="347"/>
                  <w:vMerge/>
                  <w:tcBorders>
                    <w:top w:val="none" w:color="000000" w:sz="4"/>
                    <w:left w:val="single" w:color="000000" w:sz="4"/>
                    <w:bottom w:val="single" w:color="000000" w:sz="4"/>
                    <w:right w:val="single" w:color="000000" w:sz="4"/>
                  </w:tcBorders>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评审和修订</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a）应定期对安全管理制度的合理性和适用性进行论证和审定，对存在不足或需要改进的安全管理制度进行修订。</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安全管理机构</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岗位设置</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a）应成立指导和管理网络安全工作的委员会或领导小组，其最高领导由单位主管领导担任或授权 ；</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b）应设立网络安全管理工作的职能部门，设立安全主管、安全管理各个方面的负责人岗位，并定义各负责人的职责；</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c）应设立系统管理员、审计管理员、安全管理员等岗位，并定义部门及各个工作岗位的职责。</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人员配备</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a）应配备一定数量的系统管理员、审计管理员、安全管理员等；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b）应配备专职的安全管理员，不可兼任。</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授权和审批</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a）应根据各个部门和岗位的职责明确授权审批事项、审批部门和批准人等；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b）应针对系统变更、重要操作、物理访问和系统接入等事项建立审批程序，按照审批程序执行审批过程，对重要活动建立逐级审批制度；</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c）应定期审查审批事项，及时更新授权和审批的项目、审批部门和审批人等信息。</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沟通和合作</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a）应加强各类管理人员、组织内部机构和网络安全管理部门之间的合作与沟通，定期召开协调会议，共同协作处理网络安全问题。；</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b）应加强与网络安全职能部门、各类供应商、业界专家及安全组织的合作与沟通；</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c）应建立外联单位联系列表，包括外联单位名称、合作内容、联系人和联系方式等信息。</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审核和检查</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a）应定期进行常规安全检查，检查内容包括系统日常运行、系统漏洞和数据备份等情况；</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b）应定期进行全面安全检查，检查内容包括现有安全技术措施的有效性、安全配置和安全策略的一致性，安全管理制度的执行情况等；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c）应制定安全检查表格实施安全检查，汇总安全检查数据，形成安全检查报告，并对安全检查结果进行通报。</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安全管理人员</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人员录用</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a）应指定或授权专门的部门或人员负责人员录用;</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b）应对被录用人的身份、安全背景、专业资格或资质等进行审查，对其所有的技术技能进行考核；</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c）应与被录用人员签署保密协议，与关键岗位人员签署岗位责任协议。</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人员离岗</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a）应及时终止离岗人员的所有访问权限，取回各种身份证件、钥匙、徽章等以及机构提供的软硬件设备；</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b）应办理严格的调离手续，并承诺调离后的保密义务方可离开。</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安全意识教育和培训</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a）应对各类人员进行安全意识教育和岗位技能培训，并告知相关的安全责任和惩戒措施；</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b）应针对不同岗位制定不同的培训计划，对安全基础知识，岗位操作规程等进行培训；</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c）应定期对不同岗位的人员进行技能考核。</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外部人员访问</w:t>
                  </w:r>
                  <w:r>
                    <w:br/>
                  </w:r>
                  <w:r>
                    <w:rPr>
                      <w:rFonts w:ascii="仿宋_GB2312" w:hAnsi="仿宋_GB2312" w:cs="仿宋_GB2312" w:eastAsia="仿宋_GB2312"/>
                      <w:sz w:val="20"/>
                    </w:rPr>
                    <w:t>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a）应在外部人员物理访问受控区域前先提出书面申请，批准后由专人全程陪同，并登记备案；</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b）应在外部人员接入受控网络访问系统前先提出书面申请，批准后由专人开设账户，分配权限，并登记备案；</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 外部人员离场后应及时清除其所有的访问权限；</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d）获得系统访问授权的外部人员签署保密协议，不得进行非授权操作，不得复制和泄露敏感信息。</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安全建设管理</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定级和备案</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a）应以书面的形式说明保护对象的安全保护等级及确定安全保护等级的方法和理由；</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b）应组织相关部门和有关安全技术专家对定级结果的合理性和正确性进行论证和审定；</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c）应保证定级结果经过相关部门的批准；</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d)应将备案材料报主管部门和相应公安机关备案</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安全方案设计</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a）应根据安全保护等级选择基本安全措施，依据风险分析的结果补充和调整安全措施；</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b）应根据保护对象的安全保护等级及与其他级别对象的关系进行安全整体规划和安全方案设计，设计内容应包含密码技术相关内容、并形成配套文件；</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c）应组织相关部门和有关安全技术专家对整体安全规划及其配套文件的合理性和正确性进行论证和审定，经过批准后才能正式实施。</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产品采购和使用</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a）应确保网络安全产品采购和使用符合国家的有关规定；</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b）应确保密码产品与服务的采购和使用符合国家密码管理主管部门的要求；</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c)应预先对产品进行选型测试，确定产品的候选范围，并定期审定和更新产品候选名单。</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自行软件开发</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a）应将开发环境与实际运行环境物理分开，测试数据和测试结果受到控制；</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b）应制定软件开发管理制度，明确说明开发过程的控制方法和人员行为准则；</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c）应制定代码编写安全规范，要求开发人员参照规范编写代码；</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d）应具备软件设计的相关文档和使用指南，并对文档使用进行控制；</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e）应保证在软件开发过程中对安全性进行测试，在软件安装前对可能存在的恶意代码进行检测；</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f）应对程序资源库的修改、更新，发布进行授权和批准，并严格进行版本控制；</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g）应保证开发人员为专职人员，开发人员的开发活动受到控制，监视和审查。</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外包软件开发</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a）应在软件交付前检测其中可能存在的恶意代码；</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b）应保证开发单位提供软件设计文档和使用指南；</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c）应保证开发单位提供软件源代码，并审查软件中可能存在的后面和隐蔽信道。</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工程实施</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a）应指定或授权专门的部门或人员负责工程实施过程的管理；</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b）应制定安全工程实施方案控制实施过程；</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c）应通过第三方工程监理控制项目的实施过程。</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测试验收</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a）应制订测试验收方案，并依据测试验收方案实施测试验收，形成测试验收报告；</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b）应进行上线前的安全性测试，并出具安全测试报告，安全测试报告应包含密码应用安全性安全测试内容。</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系统交付</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a）应制定交付清单，并根据交付清单对所交接的设备、软件和文档等进行清点；</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b）应对负责系统运行维护的技术人员进行相应的技能培训；</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c）应提供建设过程文档和运行维护文档。</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等级测评</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a）应定期进行等级测评，发现不符合相应等级保护标准要求的及时整改；</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b）在发生重大变化或级别发生时进行等级测评；</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c）应确保测评机构的选择符合国家相关规定。</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服务供应商管理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a）应确保服务供应商的选择符合国家的有关规定；</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b）应与选定的服务商签订相关协议，明确整个服务供应链各方需履行的网络安全相关义务；</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c）应定期监督、评审和审核服务供应商提供的服务，并对其变更服务进行控制。</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安全运维管理</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环境管理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a）应指定专门的部门或人员负责机房安全，对机房出入进行管理，定期对机房供配电、空调、温湿度控制、消防等设施进行维护管理；</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b）应建立机房安全管理制度，对有关物理访问，物品带进带出和环境安全等方面的管理作出规定；</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c）应不在重要区域接待来访人员，不随意放置包含敏感信息的纸质文件和移动介质。</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资产管理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a）应编制并保存与信息系统相关的资产清单，包括资产责任部门、重要程度和所处位置等内容；</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b）应根据资产的重要程度对资产进行标识管理，根据资产的价值选择相应的管理措施；</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c）应对信息分类与标识方法做出规定，并对信息的使用，传输和存储等进行规范化管理。</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介质管理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a）应将介质存放在安全的环境中，对各类介质进行控制和保护，实行存储环境专人管理并根据存档介质的目录清单定期盘点；</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b）应对介质在物理传输过程中的人员选择、打包、交付等情况进行控制，并对介质归档和查询等进行登记记录。</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设备维护管理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a）应对各种设备（包括备份和冗余设备）、线路等指定专门的部门或人员定期进行维护管理；</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b）应建立配套设施、软硬件维护方面的管理制度，对其维护进行有效的管理，包括明确维护人员的责任、维修和服务的审批、维修过程的监督控制等；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c）信息处理设备应经过审批才能带离机房或办公地点，含有储存介质的设备带出工作环境时其重要数据应加密；</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d）含有存储介质的设备在报废或重用前，应进行完全清除或完全覆盖，保证该设备上的敏感数据和授权软件无法被恢复重用。</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漏洞和风险管理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a）应采取必要的措施识别安全漏洞和隐患，对发现的安全漏洞和隐患及时进行修补或评估可能的影响后进行修补；</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b)应定期开展安全测评，形成安全测评报告，采取措施应对发现的安全问题。</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网络和系统安全管理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a）应划分不同的管理员角色进行网络和系统的运维管理，明确各个角色的责任和权限；</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b）应指定专门的部门或人员进行账户管理，对申请账户，建立账户、删除账户等进行控制；</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c）应建立网络和系统安全管理制度，对安全策略、账户管理、配置管理、日志管理、日常操作、升级与打补丁、口令更新周期等方面作出规定；</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d）应制定重要设备的配置和操作手册，依据手册对设备进行安全配置和优化配置等；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e）应详细记录运维操作日志，包括日常巡检工作，运行维护记录、参数的设置和修改的内容；</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f）应指定专门的部门或人员对日志、监测和报警数据等进行分析、统计，及时发现可疑行为；</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g）应严格控制变更性运维，经过审批后才可改变连接，安装系统组件或调整配置参数，操作过程中应保留不可更改的审计日志，操作结束后应同步配置更新配置信息库；</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H）应严格控制运维工具的使用，经过审批后才可接入进行操作，操作过程中应保留不可更改的审计日志，操作结束后应删除工具中的敏感数据；</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i）应严格控制远程运维的开通，经过审批后才可开通远程运维接口或通道，操作过程中应保留不可更改的审计日志，操作结束后立即关闭接口或通道；</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j）应保证所有与外部的连接均得到授权和批准，应定期检查违反规定无线上网及其他违反网络安全策略行为。</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恶意代码防范管理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a）应提高所有用户的防恶意代码意识，对外来计算机或存储设备接入系统前进行恶意代码检查等；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b）应定期验证防范恶意代码攻击的技术措施的有效性。</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配置管理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a）应记录和保存基本配置信息，包括网络拓扑结构、各类设备安装的软件组件、软件组件的版本和补丁信息、各个设备或软件组件的配置参数等；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b)应将基本信息改变纳入变更范畴，实施对配置信息改变的控制，并及时更新基本配置信息库。</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a）应遵循密码相关国家标准和行业标准；</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b）应使用国家密码管理主管部门认证核准的密码技术和产品。</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变更管理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a）应明确变更需求，变更前根据变更需求制定变更方案、变更方案经过评审、审批后方可实施；</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b）应建立变更的申报和审批控制程序，依据程序控制所有的变更，记录变更实施过程；</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c）应建立终止变更并从失败的变更中恢复的程序，明确过程控制方法和人员职责，必要时对恢复过程进行演练。</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备份与恢复管理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a）应识别需要定期备份的重要业务信息、系统数据及软件系统等；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b）应规定备份信息的备份方式、备份频度、存储介质和保存期等；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c）应根据数据的重要性和数据对系统运行的影响，制定数据的备份策略和恢复策略，备份程序和恢复程序等。</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安全事件处置</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a）应及时向安全管理部门报告所发现的安全弱点和可疑事件；</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b）应制定安全事件报告和处置管理制度，明确不同安全事件的报告、处置和响应流程，规定安全事件的现场处理、事件报告和后期恢复的管理职责等；</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c）应在安全事件和响应处理过程中，分析和鉴定事件产生的原因，收集证据，记录处理过程，总结经验教训；</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D）对造成系统中断和造成信息泄露的重大安全事件应采用不同的处理程序和报告程序。</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应急预案管理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a)应规定统一的应急预案框架，包括启动预案的条件，应急组织构成，应急资源保障，事后教育和培训等内容；</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b）应制定重要事件的应急预案，包括应急处理流程、系统恢复流程等内容；</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c）应定期对系统相关的人员进行应急预案培训，并进行应急预案的演练；</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d)应定期对原有的应急预案重新评估，修订完善。</w:t>
                  </w:r>
                </w:p>
              </w:tc>
            </w:tr>
            <w:tr>
              <w:tc>
                <w:tcPr>
                  <w:tcW w:type="dxa" w:w="347"/>
                  <w:vMerge/>
                  <w:tcBorders>
                    <w:top w:val="none" w:color="000000" w:sz="4"/>
                    <w:left w:val="single" w:color="000000" w:sz="4"/>
                    <w:bottom w:val="single" w:color="000000" w:sz="4"/>
                    <w:right w:val="single" w:color="000000" w:sz="4"/>
                  </w:tcBorders>
                </w:tcP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外包运维管理</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a）应确保外包运维服务商的选择符合国家有关规定；</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b）应与选定的外包运维服务商签订相关的协议，明确约定外包运维的范围、工作内容；</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d）应保证选择的外包运维服务商在技术和管理方面均应具有按照等级保护要求开展安全运维工作的能力，并将能力在签订的协议中明确；</w:t>
                  </w:r>
                </w:p>
              </w:tc>
            </w:tr>
            <w:tr>
              <w:tc>
                <w:tcPr>
                  <w:tcW w:type="dxa" w:w="347"/>
                  <w:vMerge/>
                  <w:tcBorders>
                    <w:top w:val="none" w:color="000000" w:sz="4"/>
                    <w:left w:val="single" w:color="000000" w:sz="4"/>
                    <w:bottom w:val="single" w:color="000000" w:sz="4"/>
                    <w:right w:val="single" w:color="000000" w:sz="4"/>
                  </w:tcBorders>
                </w:tcPr>
                <w:p/>
              </w:tc>
              <w:tc>
                <w:tcPr>
                  <w:tcW w:type="dxa" w:w="530"/>
                  <w:vMerge/>
                  <w:tcBorders>
                    <w:top w:val="none" w:color="000000" w:sz="4"/>
                    <w:left w:val="single" w:color="000000" w:sz="4"/>
                    <w:bottom w:val="single" w:color="000000" w:sz="4"/>
                    <w:right w:val="single" w:color="000000" w:sz="4"/>
                  </w:tcBorders>
                </w:tcP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d）应在与外包运维服务商签订的协议中明确所有相关的安全要求，如可能涉及对敏感信息的访问、处理、储存要求，对IT基础设施中断服务的应急保障要求等。</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配备：投标人参与此项目现场测评人员不得少于8人，其中至少包含1名高级测评师，3名中级测评师，4名初级测评师。投标人必须为本项目成立本地化等级保护测评小组，由测评小组组长统一负责，测评小组组长具有一定的技术及管理知识和经验，能容易地与客户沟通，能很好的执行与完成测评工作，并根据适当情况增加测评人员。投标人应按等级保护测评要求制定测评过程中产生的文档，做到科学、规范、详尽、统一。 2、测评人员要求：本项目的测评人员需具有3年及以上测评工作经验，项目经理和质量负责人必须具备丰富的安全服务经验及相关资质认证，并提供人员管理及配备方案，并确保人员稳定。如需更换测评人员，须由采购单位同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在采购单位同意进场实施后的60个自然日内交付电子版以及纸质版《等级保护测评项目系统测评方案》（每个系统一份）；《等级保护测评项目系统等级保护整改建议书》（每个系统一份）； 《等级保护测评项目系统等级保护测评报告》（每个系统一份）。 成果交付要求 交付形式： 1、电子件:按 “合规文件 / 技术材料 / 管理文件 / 运营材料” 分类建文件夹，命名规范（如 “XX 医院 - 三级等保 - 数据加密实施记录 - 20250X”），U 盘或加密网盘交付。 2、纸质版:《等级保护测评项目系统测评方案》（每个系统一份）； 《等级保护测评项目系统等级保护整改建议书》（每个系统一份）； 《等级保护测评项目系统等级保护测评报告》（每个系统一份）。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合同有效期：自合同签订之日起一年内，质保期一年。（根据项目情况无法明确具体时间的项目）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依据采购文件、响应文件及合同约定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测评服务内容按甲方指定地点，完成全部测评工作并交付全部成果文件，经采购人验收合格后，乙方给甲方出具所签合同的全额完税发票后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留合同总价款的50%，待质保期满后一次性无息支付（甲方付款前乙方未向甲方提供全额合规的，甲方有权拒付任何款项且不承担任何责任，同时并不因此免除乙方的任意合同义务）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依据采购文件、响应文件及合同约定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障政府采购电子化交易平台项目实施，供应商需要在线提交所有通过电子化交易平台实施的政府采购项目的响应文件，同时，线下提交响应文件正本壹套、副本贰套、电子版壹套（U盘一套标明供应商名称，单独密封）。且提供的投标文件纸质版与电子版必须与在陕西省政府采购综合管理平台项目电子化交易系统上提交的电子投标文件内容一致，若电子化投标文件与纸质投标文件不一致的，以电子化投标文件为准。线下递交截止时间同在线递交电子投标文件截止时间一致。线下递交文件时间：详见本项目招标公告文件截止时间；线下递交文件地点：陕西省西安市经开区凤城四路世融国际22层2205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具有独立承担民事责任能力的法人、其他组织或自然人，并出具合法有效的营业执照或事业单位法人证书等国家规定的相关证明（副本）,自然人参与的提供其身份证明；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直接参加磋商的，须提供法定代表人身份证明及其身份证复印件加盖供应商公章；法定代表人授权本单位人员参加磋商的，须提供法定代表人授权委托书（附法定代表人、被授权人身份证复印件加盖供应商公章）及投标截止时间前被授权人近三个月的社保缴纳证明（不含投标当月）；</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供应商提供经会计师事务所审计的2024年的财务审计报告(包含审计报告正文、资产负债表、利润表、现金流量表、所有者权益变动表及其附注），该报告须真实有效，符合《关于加强审计报告查验工作的通知》（财会〔2023〕15 号）文件要求，且已在注册会计师行业统一监管平台完成报备及赋码；成立时间至提交响应文件截止时间不足一年的可提供成立后任意时段的资产负债表，或其开标前六个月内银行出具的资信证明；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提供2025年1月至今已缴纳的至少一个月的税收（时间以税款所属日期为准）缴纳证明（或完税证明）及社会保障资金缴纳证明，依法免缴的单位应提供相关证明材料；其他组织和自然人也须提供；</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参加本次政府采购活动前三年内在经营活动中 没有重大违纪，以及未被列入失信被执行人、重大税收违法案件当事人名单、政府采购严重违法失信行为记录名单的书面声明（原件，并附“信用中国”网站（www.creditchina.gov.cn)、中国政府采购网（www.ccgp.gov.cn）查询结果截图并加盖公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供应商应具备《网络安全等级保护测评与检测评估机构服务认证证书》；</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法定代表人、控股股东或实际控制人不得与西安市中心医院高管或采购相关部门关键岗位人员有夫妻、直系血亲、三代以内旁系血亲或者近姻亲关系，供应商应对此出具书面承诺；</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2.商务响应与偏离表.docx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响应文件封面 2.商务响应与偏离表.docx 中小企业声明函 残疾人福利性单位声明函 标的清单 报价表 1.资格证明文件.docx 响应函 3.服务响应偏离表.docx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2.商务响应与偏离表.docx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法律法规和实质性要求：是否符合法律法规和磋商文件规定的其他实质性要求</w:t>
            </w:r>
          </w:p>
        </w:tc>
        <w:tc>
          <w:tcPr>
            <w:tcW w:type="dxa" w:w="1661"/>
          </w:tcPr>
          <w:p>
            <w:pPr>
              <w:pStyle w:val="null3"/>
            </w:pPr>
            <w:r>
              <w:rPr>
                <w:rFonts w:ascii="仿宋_GB2312" w:hAnsi="仿宋_GB2312" w:cs="仿宋_GB2312" w:eastAsia="仿宋_GB2312"/>
              </w:rPr>
              <w:t>响应文件封面 2.商务响应与偏离表.docx 中小企业声明函 残疾人福利性单位声明函 标的清单 报价表 1.资格证明文件.docx 响应函 3.服务响应偏离表.docx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测评方案</w:t>
            </w:r>
          </w:p>
        </w:tc>
        <w:tc>
          <w:tcPr>
            <w:tcW w:type="dxa" w:w="2492"/>
          </w:tcPr>
          <w:p>
            <w:pPr>
              <w:pStyle w:val="null3"/>
            </w:pPr>
            <w:r>
              <w:rPr>
                <w:rFonts w:ascii="仿宋_GB2312" w:hAnsi="仿宋_GB2312" w:cs="仿宋_GB2312" w:eastAsia="仿宋_GB2312"/>
              </w:rPr>
              <w:t>1、测评方案完整、清晰，符合国家标准，方法科学合理，工具选择恰当，得10分；方案基本符合要求，但细节有待完善，得7分；方案存在明显不足，需进一步优化，得4分；无方案或严重不符合要求，得0分。 2、测评团队具备丰富的行业经验，成员专业且分工明确，能够高效协作完成测评任务，得10分；团队能力较强，但部分成员或环节需提升，得7分；团队能力一般，需加强培训和协作，得4分；团队能力明显不足，难以胜任测评工作，得0分。 3、制定了详细、可行的项目实施计划，时间表明确，关键里程碑清晰，项目管理方案健全，沟通协作机制顺畅，能够确保项目按时按质完成，得10分；项目规划较完善，但执行过程中需加强监控和调整，得7分；项目规划与执行存在较大不确定性，需密切关注并采取措施，得4分；项目规划与执行严重脱节，无法推进，得0分。 4、全面识别了项目可能面临的风险，并制定了有效的风险规避和处置措施，确保项目平稳进行，得10分；风险评估较全面，但应对措施不够具体或执行不力，得7分；风险评估不足，未充分考虑潜在风险，得4分；未进行风险评估或风险应对措施无效，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4.测评方案.docx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包含安全咨询、漏洞扫描、巡检、在线监测等关键服务，且服务说明详尽、明确者得6分；部分覆盖关键服务但说明清晰，或全面覆盖但说明略有不足者得4分；仅部分覆盖关键服务且说明模糊，或未覆盖关键服务但提供了其他服务并说明清晰者得2分；未覆盖关键服务且服务说明不清晰或未提供说明者得0分。 2、快速响应客户需求并高效解决问题者得4分；响应时间合理但处理效率一般，或响应速度稍快但处理效率有待提升者得2分；响应迟缓或处理效率低下，频繁拖延者得0分。 3、明确承诺并提供有效保障措施，且能够长期稳定提供服务者得4分；承诺较为笼统但提供了基本保障措施，或服务持续性较好但承诺不够明确者得2分；无明确承诺或保障措施，或服务持续性差，难以满足客户长期需求者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5.售后服务.docx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1、清晰界定针对三级评测的特定培训目标，确保与项目需求紧密相关，得3分；目标较为明确，但部分内容与项目需求关联度不高，得2分；目标模糊或未明确针对三级评测，得1分；未设定目标得0分。 2、涵盖政策法规、技术要求、安全策略、风险评估、应急响应等关键领域，且内容深入具体，得4分；覆盖大部分关键领域，但部分内容较为浅显或遗漏个别重要点，得3分；培训内容不全面，关键领域覆盖不足，得2分；内容严重缺失或无关，得1分。3、采用理论讲解、案例分析、实操演练等多种方式相结合，提高培训效果，得2分；培训方式较为单一，但基本满足学习需求，得1分；培训方式单一且效果不佳，得0分。 4、设有明确的培训效果评估机制，包括考试、测试、问卷调查等，并能及时收集反馈进行改进，得2分；有一定的评估机制但不够全面或反馈收集不及时，得1分；无评估机制或未收集反馈，得0分。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6.培训计划.docx</w:t>
            </w:r>
          </w:p>
        </w:tc>
      </w:tr>
      <w:tr>
        <w:tc>
          <w:tcPr>
            <w:tcW w:type="dxa" w:w="831"/>
            <w:vMerge/>
          </w:tcPr>
          <w:p/>
        </w:tc>
        <w:tc>
          <w:tcPr>
            <w:tcW w:type="dxa" w:w="1661"/>
          </w:tcPr>
          <w:p>
            <w:pPr>
              <w:pStyle w:val="null3"/>
            </w:pPr>
            <w:r>
              <w:rPr>
                <w:rFonts w:ascii="仿宋_GB2312" w:hAnsi="仿宋_GB2312" w:cs="仿宋_GB2312" w:eastAsia="仿宋_GB2312"/>
              </w:rPr>
              <w:t>拟派技术负责人</w:t>
            </w:r>
          </w:p>
        </w:tc>
        <w:tc>
          <w:tcPr>
            <w:tcW w:type="dxa" w:w="2492"/>
          </w:tcPr>
          <w:p>
            <w:pPr>
              <w:pStyle w:val="null3"/>
            </w:pPr>
            <w:r>
              <w:rPr>
                <w:rFonts w:ascii="仿宋_GB2312" w:hAnsi="仿宋_GB2312" w:cs="仿宋_GB2312" w:eastAsia="仿宋_GB2312"/>
              </w:rPr>
              <w:t>拟派项目技术负责人需具有注册信息安全工程师证书，得3分，具有信息安全保障人员认证证书，提供一个得2分，最高得5分不提供不得分。 备注：须提供资质证书复印件加盖供应商公章及供应商为其缴纳的开标前6个月内任意一个月社保证明材料或劳动合同，未提供或提供不全不计分。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7.拟派技术负责人.docx</w:t>
            </w:r>
          </w:p>
        </w:tc>
      </w:tr>
      <w:tr>
        <w:tc>
          <w:tcPr>
            <w:tcW w:type="dxa" w:w="831"/>
            <w:vMerge/>
          </w:tcPr>
          <w:p/>
        </w:tc>
        <w:tc>
          <w:tcPr>
            <w:tcW w:type="dxa" w:w="1661"/>
          </w:tcPr>
          <w:p>
            <w:pPr>
              <w:pStyle w:val="null3"/>
            </w:pPr>
            <w:r>
              <w:rPr>
                <w:rFonts w:ascii="仿宋_GB2312" w:hAnsi="仿宋_GB2312" w:cs="仿宋_GB2312" w:eastAsia="仿宋_GB2312"/>
              </w:rPr>
              <w:t>拟投入本项目的组成人员</w:t>
            </w:r>
          </w:p>
        </w:tc>
        <w:tc>
          <w:tcPr>
            <w:tcW w:type="dxa" w:w="2492"/>
          </w:tcPr>
          <w:p>
            <w:pPr>
              <w:pStyle w:val="null3"/>
            </w:pPr>
            <w:r>
              <w:rPr>
                <w:rFonts w:ascii="仿宋_GB2312" w:hAnsi="仿宋_GB2312" w:cs="仿宋_GB2312" w:eastAsia="仿宋_GB2312"/>
              </w:rPr>
              <w:t>供应商拟配备的项目组成员须提供人员清单（现场测评人员不得少于8人，其中至少包含1名高级测评师，3名中级测评师，4名初级测评师），项目组成员（除项目经理外）。每增加一名中级测评师得2分，每增加一名初级测评师得1分，最高得5分。 备注：须提供资质证书复印件加盖供应商公章及供应商为其缴纳的开标前6个月内任意一个月社保证明材料或劳动合同，未提供或提供不全不计分。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8.拟投入本项目的组成人员.docx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提供供应商2022年1月1日至今（以合同签订日期为准）同类项目完整合同，每提供1个计2.5分，最高得5分，提供不全不计分。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详见附件：2.商务响应与偏离表.docx</w:t>
      </w:r>
    </w:p>
    <w:p>
      <w:pPr>
        <w:pStyle w:val="null3"/>
        <w:ind w:firstLine="960"/>
      </w:pPr>
      <w:r>
        <w:rPr>
          <w:rFonts w:ascii="仿宋_GB2312" w:hAnsi="仿宋_GB2312" w:cs="仿宋_GB2312" w:eastAsia="仿宋_GB2312"/>
        </w:rPr>
        <w:t>详见附件：3.服务响应偏离表.docx</w:t>
      </w:r>
    </w:p>
    <w:p>
      <w:pPr>
        <w:pStyle w:val="null3"/>
        <w:ind w:firstLine="960"/>
      </w:pPr>
      <w:r>
        <w:rPr>
          <w:rFonts w:ascii="仿宋_GB2312" w:hAnsi="仿宋_GB2312" w:cs="仿宋_GB2312" w:eastAsia="仿宋_GB2312"/>
        </w:rPr>
        <w:t>详见附件：4.测评方案.docx</w:t>
      </w:r>
    </w:p>
    <w:p>
      <w:pPr>
        <w:pStyle w:val="null3"/>
        <w:ind w:firstLine="960"/>
      </w:pPr>
      <w:r>
        <w:rPr>
          <w:rFonts w:ascii="仿宋_GB2312" w:hAnsi="仿宋_GB2312" w:cs="仿宋_GB2312" w:eastAsia="仿宋_GB2312"/>
        </w:rPr>
        <w:t>详见附件：5.售后服务.docx</w:t>
      </w:r>
    </w:p>
    <w:p>
      <w:pPr>
        <w:pStyle w:val="null3"/>
        <w:ind w:firstLine="960"/>
      </w:pPr>
      <w:r>
        <w:rPr>
          <w:rFonts w:ascii="仿宋_GB2312" w:hAnsi="仿宋_GB2312" w:cs="仿宋_GB2312" w:eastAsia="仿宋_GB2312"/>
        </w:rPr>
        <w:t>详见附件：6.培训计划.docx</w:t>
      </w:r>
    </w:p>
    <w:p>
      <w:pPr>
        <w:pStyle w:val="null3"/>
        <w:ind w:firstLine="960"/>
      </w:pPr>
      <w:r>
        <w:rPr>
          <w:rFonts w:ascii="仿宋_GB2312" w:hAnsi="仿宋_GB2312" w:cs="仿宋_GB2312" w:eastAsia="仿宋_GB2312"/>
        </w:rPr>
        <w:t>详见附件：7.拟派技术负责人.docx</w:t>
      </w:r>
    </w:p>
    <w:p>
      <w:pPr>
        <w:pStyle w:val="null3"/>
        <w:ind w:firstLine="960"/>
      </w:pPr>
      <w:r>
        <w:rPr>
          <w:rFonts w:ascii="仿宋_GB2312" w:hAnsi="仿宋_GB2312" w:cs="仿宋_GB2312" w:eastAsia="仿宋_GB2312"/>
        </w:rPr>
        <w:t>详见附件：8.拟投入本项目的组成人员.docx</w:t>
      </w:r>
    </w:p>
    <w:p>
      <w:pPr>
        <w:pStyle w:val="null3"/>
        <w:ind w:firstLine="960"/>
      </w:pPr>
      <w:r>
        <w:rPr>
          <w:rFonts w:ascii="仿宋_GB2312" w:hAnsi="仿宋_GB2312" w:cs="仿宋_GB2312" w:eastAsia="仿宋_GB2312"/>
        </w:rPr>
        <w:t>详见附件：9.业绩一览表.docx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详见附件：西安市中心医院服务类合同.docx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