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0D383">
      <w:pPr>
        <w:jc w:val="center"/>
        <w:rPr>
          <w:rFonts w:hint="eastAsia" w:ascii="仿宋" w:hAnsi="仿宋" w:eastAsia="仿宋" w:cs="仿宋"/>
          <w:sz w:val="52"/>
          <w:szCs w:val="52"/>
        </w:rPr>
      </w:pPr>
      <w:r>
        <w:rPr>
          <w:rFonts w:hint="eastAsia" w:ascii="仿宋" w:hAnsi="仿宋" w:eastAsia="仿宋" w:cs="仿宋"/>
          <w:sz w:val="52"/>
        </w:rPr>
        <mc:AlternateContent>
          <mc:Choice Requires="wps">
            <w:drawing>
              <wp:anchor distT="0" distB="0" distL="114300" distR="114300" simplePos="0" relativeHeight="251659264" behindDoc="0" locked="0" layoutInCell="1" allowOverlap="1">
                <wp:simplePos x="0" y="0"/>
                <wp:positionH relativeFrom="column">
                  <wp:posOffset>4986020</wp:posOffset>
                </wp:positionH>
                <wp:positionV relativeFrom="paragraph">
                  <wp:posOffset>69215</wp:posOffset>
                </wp:positionV>
                <wp:extent cx="810895" cy="353060"/>
                <wp:effectExtent l="4445" t="4445" r="22860" b="23495"/>
                <wp:wrapNone/>
                <wp:docPr id="4" name="文本框 4"/>
                <wp:cNvGraphicFramePr/>
                <a:graphic xmlns:a="http://schemas.openxmlformats.org/drawingml/2006/main">
                  <a:graphicData uri="http://schemas.microsoft.com/office/word/2010/wordprocessingShape">
                    <wps:wsp>
                      <wps:cNvSpPr txBox="1"/>
                      <wps:spPr>
                        <a:xfrm>
                          <a:off x="0" y="0"/>
                          <a:ext cx="810895" cy="3530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1AFA987">
                            <w:pPr>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软件维保</w:t>
                            </w:r>
                          </w:p>
                        </w:txbxContent>
                      </wps:txbx>
                      <wps:bodyPr upright="1"/>
                    </wps:wsp>
                  </a:graphicData>
                </a:graphic>
              </wp:anchor>
            </w:drawing>
          </mc:Choice>
          <mc:Fallback>
            <w:pict>
              <v:shape id="_x0000_s1026" o:spid="_x0000_s1026" o:spt="202" type="#_x0000_t202" style="position:absolute;left:0pt;margin-left:392.6pt;margin-top:5.45pt;height:27.8pt;width:63.85pt;z-index:251659264;mso-width-relative:page;mso-height-relative:page;" fillcolor="#FFFFFF" filled="t" stroked="t" coordsize="21600,21600" o:gfxdata="UEsDBAoAAAAAAIdO4kAAAAAAAAAAAAAAAAAEAAAAZHJzL1BLAwQUAAAACACHTuJAm3EuX9gAAAAJ&#10;AQAADwAAAGRycy9kb3ducmV2LnhtbE2Py07DMBBF90j8gzVIbBC1E2iahDhdIIFgVwqCrRtPkwg/&#10;gu2m5e8ZVrCb0T26c6ZZn6xhM4Y4eichWwhg6DqvR9dLeHt9uC6BxaScVsY7lPCNEdbt+Vmjau2P&#10;7gXnbeoZlbhYKwlDSlPNeewGtCou/ISOsr0PViVaQ891UEcqt4bnQhTcqtHRhUFNeD9g97k9WAnl&#10;7dP8EZ9vNu9dsTdVulrNj19BysuLTNwBS3hKfzD86pM6tOS08wenIzMSVuUyJ5QCUQEjoMpyGnYS&#10;imIJvG34/w/aH1BLAwQUAAAACACHTuJA3yFelRICAABDBAAADgAAAGRycy9lMm9Eb2MueG1srVNL&#10;jhMxEN0jcQfLe9KdzGSUaaUzEoSwQYA0cADHdndb8k8uJ925ANyAFRv2nCvnoOxkQuazyIJeuMuu&#10;8qtXr8rzu8FospUBlLM1HY9KSqTlTijb1vTb19WbGSUQmRVMOytrupNA7xavX817X8mJ65wWMhAE&#10;sVD1vqZdjL4qCuCdNAxGzkuLzsYFwyJuQ1uIwHpEN7qYlOVN0bsgfHBcAuDp8uCkR8RwCaBrGsXl&#10;0vGNkTYeUIPULGJJ0CkPdJHZNo3k8XPTgIxE1xQrjXnFJGiv01os5qxqA/Od4kcK7BIKT2oyTFlM&#10;eoJassjIJqhnUEbx4MA1ccSdKQ6FZEWwinH5RJv7jnmZa0GpwZ9Eh/8Hyz9tvwSiRE2vKbHMYMP3&#10;P3/sf/3Z//5OrpM8vYcKo+49xsXhrRtwaB7OAQ9T1UMTTPpjPQT9KO7uJK4cIuF4OBuXs9spJRxd&#10;V9Or8iaLX/y77APED9IZkoyaBuxdlpRtP0JEIhj6EJJygdNKrJTWeRPa9TsdyJZhn1f5SxzxyqMw&#10;bUlf09vpJPFgOLwNDg2axqMAYNuc79ENOAcu8/cScCK2ZNAdCGSEFMYqo6IM2eokE++tIHHnUWSL&#10;b4smMkYKSrTEp5isHBmZ0pdEYnXapiQyD/pRpdSvQ1+SFYf1gKDJXDuxwx5ufFBthwLnLhbJg7OV&#10;tTq+gzS853u0z9/+4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bcS5f2AAAAAkBAAAPAAAAAAAA&#10;AAEAIAAAACIAAABkcnMvZG93bnJldi54bWxQSwECFAAUAAAACACHTuJA3yFelRICAABDBAAADgAA&#10;AAAAAAABACAAAAAnAQAAZHJzL2Uyb0RvYy54bWxQSwUGAAAAAAYABgBZAQAAqwUAAAAA&#10;">
                <v:fill on="t" focussize="0,0"/>
                <v:stroke color="#000000" joinstyle="miter"/>
                <v:imagedata o:title=""/>
                <o:lock v:ext="edit" aspectratio="f"/>
                <v:textbox>
                  <w:txbxContent>
                    <w:p w14:paraId="11AFA987">
                      <w:pPr>
                        <w:rPr>
                          <w:rFonts w:hint="eastAsia" w:ascii="Times New Roman" w:hAnsi="Times New Roman" w:eastAsia="宋体" w:cs="Times New Roman"/>
                          <w:b/>
                          <w:bCs/>
                          <w:color w:val="auto"/>
                          <w:sz w:val="22"/>
                          <w:szCs w:val="28"/>
                          <w:lang w:val="en-US" w:eastAsia="zh-CN"/>
                        </w:rPr>
                      </w:pPr>
                      <w:r>
                        <w:rPr>
                          <w:rFonts w:hint="eastAsia" w:ascii="Times New Roman" w:hAnsi="Times New Roman" w:eastAsia="宋体" w:cs="Times New Roman"/>
                          <w:b/>
                          <w:bCs/>
                          <w:color w:val="auto"/>
                          <w:sz w:val="22"/>
                          <w:szCs w:val="28"/>
                          <w:lang w:val="en-US" w:eastAsia="zh-CN"/>
                        </w:rPr>
                        <w:t>软件维保</w:t>
                      </w:r>
                    </w:p>
                  </w:txbxContent>
                </v:textbox>
              </v:shape>
            </w:pict>
          </mc:Fallback>
        </mc:AlternateContent>
      </w:r>
    </w:p>
    <w:p w14:paraId="7077DE40">
      <w:pPr>
        <w:jc w:val="center"/>
        <w:rPr>
          <w:rFonts w:hint="eastAsia" w:ascii="仿宋" w:hAnsi="仿宋" w:eastAsia="仿宋" w:cs="仿宋"/>
          <w:b/>
          <w:color w:val="000000"/>
          <w:spacing w:val="4"/>
          <w:sz w:val="52"/>
          <w:szCs w:val="48"/>
          <w:lang w:eastAsia="zh-CN"/>
        </w:rPr>
      </w:pPr>
      <w:r>
        <w:rPr>
          <w:rFonts w:hint="eastAsia" w:ascii="仿宋" w:hAnsi="仿宋" w:eastAsia="仿宋" w:cs="仿宋"/>
          <w:b/>
          <w:color w:val="000000"/>
          <w:spacing w:val="4"/>
          <w:sz w:val="52"/>
          <w:szCs w:val="48"/>
        </w:rPr>
        <w:t>西安市中心医院</w:t>
      </w:r>
      <w:r>
        <w:rPr>
          <w:rFonts w:hint="eastAsia" w:ascii="仿宋" w:hAnsi="仿宋" w:eastAsia="仿宋" w:cs="仿宋"/>
          <w:b/>
          <w:color w:val="000000"/>
          <w:spacing w:val="4"/>
          <w:sz w:val="52"/>
          <w:szCs w:val="48"/>
          <w:lang w:eastAsia="zh-CN"/>
        </w:rPr>
        <w:t>服务类</w:t>
      </w:r>
    </w:p>
    <w:p w14:paraId="4B10C405">
      <w:pPr>
        <w:ind w:firstLine="3233" w:firstLineChars="350"/>
        <w:rPr>
          <w:rFonts w:hint="eastAsia" w:ascii="仿宋" w:hAnsi="仿宋" w:eastAsia="仿宋" w:cs="仿宋"/>
          <w:b/>
          <w:spacing w:val="-20"/>
          <w:sz w:val="96"/>
          <w:szCs w:val="58"/>
        </w:rPr>
      </w:pPr>
      <w:bookmarkStart w:id="0" w:name="_GoBack"/>
      <w:bookmarkEnd w:id="0"/>
    </w:p>
    <w:p w14:paraId="710FDDCC">
      <w:pPr>
        <w:jc w:val="center"/>
        <w:rPr>
          <w:rFonts w:hint="eastAsia" w:ascii="仿宋" w:hAnsi="仿宋" w:eastAsia="仿宋" w:cs="仿宋"/>
          <w:b/>
          <w:sz w:val="72"/>
          <w:szCs w:val="72"/>
        </w:rPr>
      </w:pPr>
      <w:r>
        <w:rPr>
          <w:rFonts w:hint="eastAsia" w:ascii="仿宋" w:hAnsi="仿宋" w:eastAsia="仿宋" w:cs="仿宋"/>
          <w:b/>
          <w:sz w:val="72"/>
          <w:szCs w:val="72"/>
        </w:rPr>
        <w:t>合 同</w:t>
      </w:r>
    </w:p>
    <w:p w14:paraId="23488079">
      <w:pPr>
        <w:jc w:val="center"/>
        <w:rPr>
          <w:rFonts w:hint="eastAsia" w:ascii="仿宋" w:hAnsi="仿宋" w:eastAsia="仿宋" w:cs="仿宋"/>
          <w:b/>
          <w:sz w:val="72"/>
          <w:szCs w:val="72"/>
        </w:rPr>
      </w:pPr>
    </w:p>
    <w:p w14:paraId="3C8D3297">
      <w:pPr>
        <w:jc w:val="center"/>
        <w:rPr>
          <w:rFonts w:hint="eastAsia" w:ascii="仿宋" w:hAnsi="仿宋" w:eastAsia="仿宋" w:cs="仿宋"/>
          <w:sz w:val="28"/>
          <w:szCs w:val="30"/>
        </w:rPr>
      </w:pPr>
      <w:r>
        <w:rPr>
          <w:rFonts w:hint="eastAsia" w:ascii="仿宋" w:hAnsi="仿宋" w:eastAsia="仿宋" w:cs="仿宋"/>
          <w:sz w:val="28"/>
          <w:szCs w:val="30"/>
        </w:rPr>
        <w:t>（</w:t>
      </w:r>
      <w:r>
        <w:rPr>
          <w:rFonts w:hint="eastAsia" w:ascii="仿宋" w:hAnsi="仿宋" w:eastAsia="仿宋" w:cs="仿宋"/>
          <w:sz w:val="28"/>
          <w:szCs w:val="30"/>
          <w:lang w:eastAsia="zh-CN"/>
        </w:rPr>
        <w:t>项目</w:t>
      </w:r>
      <w:r>
        <w:rPr>
          <w:rFonts w:hint="eastAsia" w:ascii="仿宋" w:hAnsi="仿宋" w:eastAsia="仿宋" w:cs="仿宋"/>
          <w:sz w:val="28"/>
          <w:szCs w:val="30"/>
        </w:rPr>
        <w:t>编号：</w:t>
      </w:r>
      <w:r>
        <w:rPr>
          <w:rFonts w:hint="eastAsia" w:ascii="仿宋" w:hAnsi="仿宋" w:eastAsia="仿宋" w:cs="仿宋"/>
          <w:sz w:val="28"/>
          <w:szCs w:val="30"/>
          <w:u w:val="single"/>
          <w:lang w:val="en-US" w:eastAsia="zh-CN"/>
        </w:rPr>
        <w:t xml:space="preserve">          </w:t>
      </w:r>
      <w:r>
        <w:rPr>
          <w:rFonts w:hint="eastAsia" w:ascii="仿宋" w:hAnsi="仿宋" w:eastAsia="仿宋" w:cs="仿宋"/>
          <w:sz w:val="28"/>
          <w:szCs w:val="30"/>
        </w:rPr>
        <w:t>）</w:t>
      </w:r>
    </w:p>
    <w:p w14:paraId="22C4C1CF">
      <w:pPr>
        <w:jc w:val="center"/>
        <w:rPr>
          <w:rFonts w:hint="eastAsia" w:ascii="仿宋" w:hAnsi="仿宋" w:eastAsia="仿宋" w:cs="仿宋"/>
          <w:sz w:val="28"/>
          <w:szCs w:val="30"/>
        </w:rPr>
      </w:pPr>
    </w:p>
    <w:p w14:paraId="4E3A6046">
      <w:pPr>
        <w:jc w:val="center"/>
        <w:rPr>
          <w:rFonts w:hint="eastAsia" w:ascii="仿宋" w:hAnsi="仿宋" w:eastAsia="仿宋" w:cs="仿宋"/>
          <w:sz w:val="28"/>
          <w:szCs w:val="30"/>
        </w:rPr>
      </w:pPr>
    </w:p>
    <w:p w14:paraId="77BB0E78">
      <w:pPr>
        <w:jc w:val="center"/>
        <w:rPr>
          <w:rFonts w:hint="eastAsia" w:ascii="仿宋" w:hAnsi="仿宋" w:eastAsia="仿宋" w:cs="仿宋"/>
          <w:sz w:val="28"/>
          <w:szCs w:val="30"/>
        </w:rPr>
      </w:pPr>
    </w:p>
    <w:p w14:paraId="172B3A15">
      <w:pPr>
        <w:jc w:val="center"/>
        <w:rPr>
          <w:rFonts w:hint="eastAsia" w:ascii="仿宋" w:hAnsi="仿宋" w:eastAsia="仿宋" w:cs="仿宋"/>
          <w:sz w:val="28"/>
          <w:szCs w:val="30"/>
        </w:rPr>
      </w:pPr>
    </w:p>
    <w:p w14:paraId="750112E3">
      <w:pPr>
        <w:jc w:val="center"/>
        <w:rPr>
          <w:rFonts w:hint="eastAsia" w:ascii="仿宋" w:hAnsi="仿宋" w:eastAsia="仿宋" w:cs="仿宋"/>
          <w:sz w:val="28"/>
          <w:szCs w:val="30"/>
        </w:rPr>
      </w:pPr>
    </w:p>
    <w:p w14:paraId="1D65A227">
      <w:pPr>
        <w:jc w:val="center"/>
        <w:rPr>
          <w:rFonts w:hint="eastAsia" w:ascii="仿宋" w:hAnsi="仿宋" w:eastAsia="仿宋" w:cs="仿宋"/>
          <w:sz w:val="28"/>
          <w:szCs w:val="30"/>
        </w:rPr>
      </w:pPr>
    </w:p>
    <w:p w14:paraId="32415A55">
      <w:pPr>
        <w:jc w:val="center"/>
        <w:rPr>
          <w:rFonts w:hint="eastAsia" w:ascii="仿宋" w:hAnsi="仿宋" w:eastAsia="仿宋" w:cs="仿宋"/>
          <w:sz w:val="32"/>
          <w:szCs w:val="32"/>
        </w:rPr>
      </w:pPr>
      <w:r>
        <w:rPr>
          <w:rFonts w:hint="eastAsia" w:ascii="仿宋" w:hAnsi="仿宋" w:eastAsia="仿宋" w:cs="仿宋"/>
          <w:sz w:val="32"/>
          <w:szCs w:val="32"/>
        </w:rPr>
        <w:t>甲  方：西安市中心医院</w:t>
      </w:r>
    </w:p>
    <w:p w14:paraId="16CC93CD">
      <w:pPr>
        <w:tabs>
          <w:tab w:val="left" w:pos="480"/>
        </w:tabs>
        <w:jc w:val="center"/>
        <w:rPr>
          <w:rFonts w:hint="eastAsia" w:ascii="仿宋" w:hAnsi="仿宋" w:eastAsia="仿宋" w:cs="仿宋"/>
          <w:sz w:val="32"/>
          <w:szCs w:val="32"/>
        </w:rPr>
      </w:pPr>
      <w:r>
        <w:rPr>
          <w:rFonts w:hint="eastAsia" w:ascii="仿宋" w:hAnsi="仿宋" w:eastAsia="仿宋" w:cs="仿宋"/>
          <w:sz w:val="32"/>
          <w:szCs w:val="32"/>
        </w:rPr>
        <w:t>乙  方：</w:t>
      </w:r>
      <w:r>
        <w:rPr>
          <w:rFonts w:hint="eastAsia" w:ascii="仿宋" w:hAnsi="仿宋" w:eastAsia="仿宋" w:cs="仿宋"/>
          <w:color w:val="auto"/>
          <w:sz w:val="32"/>
          <w:szCs w:val="32"/>
        </w:rPr>
        <w:t>XXXXXXXXXXXXXX</w:t>
      </w:r>
    </w:p>
    <w:p w14:paraId="0C7F37EE">
      <w:pPr>
        <w:rPr>
          <w:rFonts w:hint="eastAsia" w:ascii="仿宋" w:hAnsi="仿宋" w:eastAsia="仿宋" w:cs="仿宋"/>
          <w:sz w:val="32"/>
          <w:szCs w:val="32"/>
        </w:rPr>
      </w:pPr>
      <w:r>
        <w:rPr>
          <w:rFonts w:hint="eastAsia" w:ascii="仿宋" w:hAnsi="仿宋" w:eastAsia="仿宋" w:cs="仿宋"/>
          <w:sz w:val="32"/>
          <w:szCs w:val="32"/>
        </w:rPr>
        <w:t xml:space="preserve">         </w:t>
      </w:r>
    </w:p>
    <w:p w14:paraId="638D79A9">
      <w:pPr>
        <w:jc w:val="center"/>
        <w:rPr>
          <w:rFonts w:hint="eastAsia" w:ascii="仿宋" w:hAnsi="仿宋" w:eastAsia="仿宋" w:cs="仿宋"/>
          <w:sz w:val="32"/>
          <w:szCs w:val="32"/>
        </w:rPr>
      </w:pPr>
      <w:r>
        <w:rPr>
          <w:rFonts w:hint="eastAsia" w:ascii="仿宋" w:hAnsi="仿宋" w:eastAsia="仿宋" w:cs="仿宋"/>
          <w:sz w:val="32"/>
          <w:szCs w:val="32"/>
        </w:rPr>
        <w:t>二O</w:t>
      </w:r>
      <w:r>
        <w:rPr>
          <w:rFonts w:hint="eastAsia" w:ascii="仿宋" w:hAnsi="仿宋" w:eastAsia="仿宋" w:cs="仿宋"/>
          <w:sz w:val="32"/>
          <w:szCs w:val="32"/>
          <w:lang w:val="en-US" w:eastAsia="zh-CN"/>
        </w:rPr>
        <w:t>二五</w:t>
      </w:r>
      <w:r>
        <w:rPr>
          <w:rFonts w:hint="eastAsia" w:ascii="仿宋" w:hAnsi="仿宋" w:eastAsia="仿宋" w:cs="仿宋"/>
          <w:sz w:val="32"/>
          <w:szCs w:val="32"/>
        </w:rPr>
        <w:t>年  月</w:t>
      </w:r>
    </w:p>
    <w:p w14:paraId="5935F9BE">
      <w:pPr>
        <w:ind w:firstLine="640" w:firstLineChars="200"/>
        <w:rPr>
          <w:rFonts w:hint="eastAsia" w:ascii="仿宋" w:hAnsi="仿宋" w:eastAsia="仿宋" w:cs="仿宋"/>
          <w:sz w:val="32"/>
          <w:szCs w:val="32"/>
        </w:rPr>
      </w:pPr>
    </w:p>
    <w:p w14:paraId="50081313">
      <w:pPr>
        <w:rPr>
          <w:rFonts w:hint="eastAsia" w:ascii="仿宋" w:hAnsi="仿宋" w:eastAsia="仿宋" w:cs="仿宋"/>
        </w:rPr>
      </w:pPr>
      <w:r>
        <w:rPr>
          <w:rFonts w:hint="eastAsia" w:ascii="仿宋" w:hAnsi="仿宋" w:eastAsia="仿宋" w:cs="仿宋"/>
        </w:rPr>
        <w:br w:type="page"/>
      </w:r>
    </w:p>
    <w:p w14:paraId="5FCCAF94">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甲方</w:t>
      </w:r>
      <w:r>
        <w:rPr>
          <w:rFonts w:hint="eastAsia" w:ascii="仿宋" w:hAnsi="仿宋" w:eastAsia="仿宋" w:cs="仿宋"/>
          <w:sz w:val="24"/>
          <w:szCs w:val="24"/>
        </w:rPr>
        <w:t xml:space="preserve">：西安市中心医院 </w:t>
      </w:r>
    </w:p>
    <w:p w14:paraId="27129D26">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乙方</w:t>
      </w:r>
      <w:r>
        <w:rPr>
          <w:rFonts w:hint="eastAsia" w:ascii="仿宋" w:hAnsi="仿宋" w:eastAsia="仿宋" w:cs="仿宋"/>
          <w:sz w:val="24"/>
          <w:szCs w:val="24"/>
        </w:rPr>
        <w:t>：</w:t>
      </w:r>
    </w:p>
    <w:p w14:paraId="0CF886F2">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为</w:t>
      </w:r>
      <w:r>
        <w:rPr>
          <w:rFonts w:hint="eastAsia" w:ascii="仿宋" w:hAnsi="仿宋" w:eastAsia="仿宋" w:cs="仿宋"/>
          <w:sz w:val="24"/>
          <w:szCs w:val="24"/>
        </w:rPr>
        <w:t>保障西安市中心医院的重要网络系统安全运行，落实《中华人民共和国网络安全法》《信息安全等级保护管理办法》等国家法律法规要求，现对西安市中心医院2个信息系统（his系统、线上支付平台）开展网络安全等级保护测评服务工作</w:t>
      </w:r>
      <w:r>
        <w:rPr>
          <w:rFonts w:hint="eastAsia" w:ascii="仿宋" w:hAnsi="仿宋" w:eastAsia="仿宋" w:cs="仿宋"/>
          <w:sz w:val="24"/>
          <w:szCs w:val="24"/>
          <w:lang w:eastAsia="zh-CN"/>
        </w:rPr>
        <w:t>，</w:t>
      </w:r>
      <w:r>
        <w:rPr>
          <w:rFonts w:hint="eastAsia" w:ascii="仿宋" w:hAnsi="仿宋" w:eastAsia="仿宋" w:cs="仿宋"/>
          <w:sz w:val="24"/>
          <w:szCs w:val="24"/>
        </w:rPr>
        <w:t>组织竞争性磋商，确定xxxx（以下简称乙方）为成交供应商。依据《中华人民共和国政府采购法》、《中华人民共和国招标投标法》、《中华人民共和国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》的竞争性磋商文件、成交供应商磋商响应文件正本和澄清表（函）、成交通知书，经甲、乙双方协商，达成如下条款。</w:t>
      </w:r>
    </w:p>
    <w:p w14:paraId="3CA5C9FF">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一、服务内容</w:t>
      </w:r>
      <w:r>
        <w:rPr>
          <w:rFonts w:hint="eastAsia" w:ascii="仿宋" w:hAnsi="仿宋" w:eastAsia="仿宋" w:cs="仿宋"/>
          <w:b/>
          <w:bCs/>
          <w:sz w:val="24"/>
          <w:szCs w:val="24"/>
        </w:rPr>
        <w:t>：</w:t>
      </w:r>
    </w:p>
    <w:p w14:paraId="249177B9">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对</w:t>
      </w:r>
      <w:r>
        <w:rPr>
          <w:rFonts w:hint="eastAsia" w:ascii="仿宋" w:hAnsi="仿宋" w:eastAsia="仿宋" w:cs="仿宋"/>
          <w:sz w:val="24"/>
          <w:szCs w:val="24"/>
          <w:lang w:eastAsia="zh-CN"/>
        </w:rPr>
        <w:t>西安市中心医院2个信息系统</w:t>
      </w:r>
      <w:r>
        <w:rPr>
          <w:rFonts w:hint="eastAsia" w:ascii="仿宋" w:hAnsi="仿宋" w:eastAsia="仿宋" w:cs="仿宋"/>
          <w:sz w:val="24"/>
          <w:szCs w:val="24"/>
        </w:rPr>
        <w:t>开展网络安全等级保护测评服务工作</w:t>
      </w:r>
    </w:p>
    <w:tbl>
      <w:tblPr>
        <w:tblStyle w:val="3"/>
        <w:tblpPr w:leftFromText="180" w:rightFromText="180" w:vertAnchor="text" w:horzAnchor="page" w:tblpX="2050" w:tblpY="220"/>
        <w:tblOverlap w:val="never"/>
        <w:tblW w:w="8370" w:type="dxa"/>
        <w:tblInd w:w="0" w:type="dxa"/>
        <w:tblLayout w:type="autofit"/>
        <w:tblCellMar>
          <w:top w:w="0" w:type="dxa"/>
          <w:left w:w="108" w:type="dxa"/>
          <w:bottom w:w="0" w:type="dxa"/>
          <w:right w:w="108" w:type="dxa"/>
        </w:tblCellMar>
      </w:tblPr>
      <w:tblGrid>
        <w:gridCol w:w="795"/>
        <w:gridCol w:w="4125"/>
        <w:gridCol w:w="1335"/>
        <w:gridCol w:w="2115"/>
      </w:tblGrid>
      <w:tr w14:paraId="4D678D6C">
        <w:tblPrEx>
          <w:tblCellMar>
            <w:top w:w="0" w:type="dxa"/>
            <w:left w:w="108" w:type="dxa"/>
            <w:bottom w:w="0" w:type="dxa"/>
            <w:right w:w="108" w:type="dxa"/>
          </w:tblCellMar>
        </w:tblPrEx>
        <w:trPr>
          <w:trHeight w:val="494" w:hRule="atLeast"/>
        </w:trPr>
        <w:tc>
          <w:tcPr>
            <w:tcW w:w="795" w:type="dxa"/>
            <w:tcBorders>
              <w:top w:val="single" w:color="000000" w:sz="4" w:space="0"/>
              <w:left w:val="single" w:color="000000" w:sz="4" w:space="0"/>
              <w:bottom w:val="single" w:color="000000" w:sz="4" w:space="0"/>
              <w:right w:val="single" w:color="000000" w:sz="4" w:space="0"/>
            </w:tcBorders>
            <w:noWrap/>
            <w:vAlign w:val="center"/>
          </w:tcPr>
          <w:p w14:paraId="3DF2397F">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4125" w:type="dxa"/>
            <w:tcBorders>
              <w:top w:val="single" w:color="000000" w:sz="4" w:space="0"/>
              <w:left w:val="single" w:color="000000" w:sz="4" w:space="0"/>
              <w:bottom w:val="single" w:color="000000" w:sz="4" w:space="0"/>
              <w:right w:val="single" w:color="000000" w:sz="4" w:space="0"/>
            </w:tcBorders>
            <w:noWrap/>
            <w:vAlign w:val="center"/>
          </w:tcPr>
          <w:p w14:paraId="5F317B17">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系统名称</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7C2CFCA6">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评审级别</w:t>
            </w:r>
          </w:p>
        </w:tc>
        <w:tc>
          <w:tcPr>
            <w:tcW w:w="2115" w:type="dxa"/>
            <w:tcBorders>
              <w:top w:val="single" w:color="000000" w:sz="4" w:space="0"/>
              <w:left w:val="single" w:color="000000" w:sz="4" w:space="0"/>
              <w:bottom w:val="single" w:color="000000" w:sz="4" w:space="0"/>
              <w:right w:val="single" w:color="000000" w:sz="4" w:space="0"/>
            </w:tcBorders>
            <w:noWrap/>
            <w:vAlign w:val="center"/>
          </w:tcPr>
          <w:p w14:paraId="6C9B0456">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备注</w:t>
            </w:r>
          </w:p>
        </w:tc>
      </w:tr>
      <w:tr w14:paraId="47870BC3">
        <w:tblPrEx>
          <w:tblCellMar>
            <w:top w:w="0" w:type="dxa"/>
            <w:left w:w="108" w:type="dxa"/>
            <w:bottom w:w="0" w:type="dxa"/>
            <w:right w:w="108" w:type="dxa"/>
          </w:tblCellMar>
        </w:tblPrEx>
        <w:trPr>
          <w:trHeight w:val="440" w:hRule="atLeast"/>
        </w:trPr>
        <w:tc>
          <w:tcPr>
            <w:tcW w:w="795" w:type="dxa"/>
            <w:tcBorders>
              <w:top w:val="single" w:color="000000" w:sz="4" w:space="0"/>
              <w:left w:val="single" w:color="000000" w:sz="4" w:space="0"/>
              <w:bottom w:val="single" w:color="000000" w:sz="4" w:space="0"/>
              <w:right w:val="single" w:color="000000" w:sz="4" w:space="0"/>
            </w:tcBorders>
            <w:noWrap/>
            <w:vAlign w:val="center"/>
          </w:tcPr>
          <w:p w14:paraId="722361CF">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4125" w:type="dxa"/>
            <w:tcBorders>
              <w:top w:val="single" w:color="000000" w:sz="4" w:space="0"/>
              <w:left w:val="single" w:color="000000" w:sz="4" w:space="0"/>
              <w:bottom w:val="single" w:color="000000" w:sz="4" w:space="0"/>
              <w:right w:val="single" w:color="000000" w:sz="4" w:space="0"/>
            </w:tcBorders>
            <w:noWrap/>
            <w:vAlign w:val="center"/>
          </w:tcPr>
          <w:p w14:paraId="4AEE1564">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HIS系统</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25FDA457">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第三级</w:t>
            </w:r>
          </w:p>
        </w:tc>
        <w:tc>
          <w:tcPr>
            <w:tcW w:w="2115" w:type="dxa"/>
            <w:tcBorders>
              <w:top w:val="single" w:color="000000" w:sz="4" w:space="0"/>
              <w:left w:val="single" w:color="000000" w:sz="4" w:space="0"/>
              <w:bottom w:val="single" w:color="000000" w:sz="4" w:space="0"/>
              <w:right w:val="single" w:color="000000" w:sz="4" w:space="0"/>
            </w:tcBorders>
            <w:noWrap/>
            <w:vAlign w:val="center"/>
          </w:tcPr>
          <w:p w14:paraId="30BEADF8">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信息科</w:t>
            </w:r>
          </w:p>
        </w:tc>
      </w:tr>
      <w:tr w14:paraId="62530380">
        <w:tblPrEx>
          <w:tblCellMar>
            <w:top w:w="0" w:type="dxa"/>
            <w:left w:w="108" w:type="dxa"/>
            <w:bottom w:w="0" w:type="dxa"/>
            <w:right w:w="108" w:type="dxa"/>
          </w:tblCellMar>
        </w:tblPrEx>
        <w:trPr>
          <w:trHeight w:val="390" w:hRule="atLeast"/>
        </w:trPr>
        <w:tc>
          <w:tcPr>
            <w:tcW w:w="795" w:type="dxa"/>
            <w:tcBorders>
              <w:top w:val="single" w:color="000000" w:sz="4" w:space="0"/>
              <w:left w:val="single" w:color="000000" w:sz="4" w:space="0"/>
              <w:bottom w:val="single" w:color="000000" w:sz="4" w:space="0"/>
              <w:right w:val="single" w:color="000000" w:sz="4" w:space="0"/>
            </w:tcBorders>
            <w:noWrap/>
            <w:vAlign w:val="center"/>
          </w:tcPr>
          <w:p w14:paraId="03375C1A">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125" w:type="dxa"/>
            <w:tcBorders>
              <w:top w:val="single" w:color="000000" w:sz="4" w:space="0"/>
              <w:left w:val="single" w:color="000000" w:sz="4" w:space="0"/>
              <w:bottom w:val="single" w:color="000000" w:sz="4" w:space="0"/>
              <w:right w:val="single" w:color="000000" w:sz="4" w:space="0"/>
            </w:tcBorders>
            <w:noWrap/>
            <w:vAlign w:val="center"/>
          </w:tcPr>
          <w:p w14:paraId="108B9F3F">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线上服务平台</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5BC1B8E2">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第三级</w:t>
            </w:r>
          </w:p>
        </w:tc>
        <w:tc>
          <w:tcPr>
            <w:tcW w:w="2115" w:type="dxa"/>
            <w:tcBorders>
              <w:top w:val="single" w:color="000000" w:sz="4" w:space="0"/>
              <w:left w:val="single" w:color="000000" w:sz="4" w:space="0"/>
              <w:bottom w:val="single" w:color="000000" w:sz="4" w:space="0"/>
              <w:right w:val="single" w:color="000000" w:sz="4" w:space="0"/>
            </w:tcBorders>
            <w:noWrap/>
            <w:vAlign w:val="center"/>
          </w:tcPr>
          <w:p w14:paraId="00C08E1A">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信息科</w:t>
            </w:r>
          </w:p>
        </w:tc>
      </w:tr>
    </w:tbl>
    <w:p w14:paraId="7C901161">
      <w:pPr>
        <w:bidi w:val="0"/>
        <w:spacing w:line="360" w:lineRule="auto"/>
        <w:rPr>
          <w:rFonts w:hint="eastAsia" w:ascii="仿宋" w:hAnsi="仿宋" w:eastAsia="仿宋" w:cs="仿宋"/>
          <w:sz w:val="24"/>
          <w:szCs w:val="24"/>
          <w:lang w:val="en-US" w:eastAsia="zh-CN"/>
        </w:rPr>
      </w:pPr>
    </w:p>
    <w:p w14:paraId="231E7DBB">
      <w:pPr>
        <w:numPr>
          <w:ilvl w:val="0"/>
          <w:numId w:val="0"/>
        </w:numPr>
        <w:bidi w:val="0"/>
        <w:spacing w:line="360" w:lineRule="auto"/>
        <w:ind w:firstLine="482" w:firstLineChars="2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二、服务要求</w:t>
      </w:r>
    </w:p>
    <w:p w14:paraId="4CC6EAB7">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服务总体要求：</w:t>
      </w:r>
    </w:p>
    <w:p w14:paraId="4DA8E543">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1)测评服务要求：依据《基本要求》（GB/T 22239-2019）、测评要求》（GB/T 28448-2019）和《测评过程指南》（GB/T 28449-2018）等国家关于网络安全等级保护的相关标准和规范要求，为医院提供相应级别信息系统等级保护测评实施工作，包括安全物理环境、安全通信网络、安全区域边界、安全计算环境、安全管理中心测评，以及安全管理制度、安全管理机构、安全管理人员、安全建设管理、安全运维管理测评。</w:t>
      </w:r>
    </w:p>
    <w:p w14:paraId="531B2E71">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2)渗透测试服务要求：乙方的渗透测试工程师要模拟恶意黑客的攻击方法，来对医院系统的安全性进行检测评估。对系统和网络进行非破坏性质的攻击性测试，尝试侵入系统，获取系统控制权并将入侵的过程和细节产生报告，由此证实系统所存在的安全威胁和风险，及时提示开发人员修复安全漏洞，提醒安全管理员完善安全策略，提升系统安全防护能力，为保证本次项目渗透的质量，参与本项目的项目经理需要参与过测评机构能力验证。 </w:t>
      </w:r>
    </w:p>
    <w:p w14:paraId="3A27A2CC">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服务质量保证要求：乙方应能根据质量体系要求建立科学的质量保证体系，从人员配备、工具保障以及科学的测评方法论、工作过程等多方面保证项目实施过程的质量。通过“项目调研-计划编制-方案编制-现场测评-编制测评报告”几个环节严格执行，并在重要环节进行文档评审，保证报告结论准确性。</w:t>
      </w:r>
    </w:p>
    <w:p w14:paraId="2952C603">
      <w:pPr>
        <w:bidi w:val="0"/>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要求乙方测评过程中使用专用测评设备，并配备国家权威机构认证的测评漏洞扫描工具，工具应具有相关采购证明材料。</w:t>
      </w:r>
    </w:p>
    <w:p w14:paraId="6FFD43AB">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4)乙方须服从医院的统一协调，且必须在项目实施期间由乙方派驻有丰富实施经验的信息安全等级保护测评中级及以上测评师为项目实施团队主要负责人和核心成员，全程参与项目实施。</w:t>
      </w:r>
    </w:p>
    <w:p w14:paraId="7FA28074">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5)乙方须提供完善的测评实施方案和计划、测评方案，经我单位审核通过后实施，并完成我单位对安全管理制度的补充完善和整理工作，配合对我单位信息系统进行整改测评服务。</w:t>
      </w:r>
    </w:p>
    <w:p w14:paraId="667329F4">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6)乙方须与招标人签订项目合同、保密协议和现场评测授权书、风险预判告知书，核实驻场测评师资质与投标时对本项目配备的测评师是否一致。确因工作调配需更换测评师，需提前 10 个工作日向招标人运维部门负责人员书面报备，并提供更换测评师资质证明。</w:t>
      </w:r>
    </w:p>
    <w:p w14:paraId="6B8A9DD5">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7)测评结束后，服务方需免费提供整改咨询服务和免费质保服务，并提供为期一年的售后服务，就本项目成果中的具体内容提供解释，提供信息系统等级保护相关工作的技术支持和咨询服务，以帮助医院提高安全防护能力。</w:t>
      </w:r>
    </w:p>
    <w:p w14:paraId="3B468F4E">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8)安全需求分析及设计服务要求：为保障医院重要信息系统的安全防护能力，乙方需对其信息系统提供安全需求分析，并且对医院的信息系统做安全方案设计，提出有针对性的安全规划方案。</w:t>
      </w:r>
    </w:p>
    <w:p w14:paraId="6D59D168">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9)应急响应及应急处理要求：乙方在测评项目结束后，要提供至少一年的信息安全应急处理保障。一旦被测系统出现紧急重大安全事件，收到医院的服务请求，测评单位工程师在 3 小时内到达用户现场，提供服务。</w:t>
      </w:r>
    </w:p>
    <w:p w14:paraId="43FB9875">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10)安全咨询服务：乙方在测评项目结束后，要提供至少一年的安全咨询服务，包括但不限于安全技术咨询、安全整改建设咨询、管理制度及国家法规等，乙方需提供咨询建议和方案建议。</w:t>
      </w:r>
    </w:p>
    <w:p w14:paraId="570FCA84">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11)安全培训服务：乙方需提供网络安全培训服务 2 次，培训内容包括网络安全意识、网络安全技术、网络安全政策法规等。</w:t>
      </w:r>
    </w:p>
    <w:p w14:paraId="058A5671">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12)重保服务：根据医院的实际需要，在重大节日活动、重要会议召开前等关键时间点提供专业安全保障服务。</w:t>
      </w:r>
    </w:p>
    <w:p w14:paraId="2CD63FC8">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2、人员配备要求</w:t>
      </w:r>
    </w:p>
    <w:p w14:paraId="6059CECD">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Hans"/>
        </w:rPr>
        <w:t>1</w:t>
      </w:r>
      <w:r>
        <w:rPr>
          <w:rFonts w:hint="eastAsia" w:ascii="仿宋" w:hAnsi="仿宋" w:eastAsia="仿宋" w:cs="仿宋"/>
          <w:sz w:val="24"/>
          <w:szCs w:val="24"/>
          <w:lang w:val="en-US" w:eastAsia="zh-CN"/>
        </w:rPr>
        <w:t>）</w:t>
      </w:r>
      <w:r>
        <w:rPr>
          <w:rFonts w:hint="eastAsia" w:ascii="仿宋" w:hAnsi="仿宋" w:eastAsia="仿宋" w:cs="仿宋"/>
          <w:sz w:val="24"/>
          <w:szCs w:val="24"/>
        </w:rPr>
        <w:t>人员配备：</w:t>
      </w:r>
      <w:r>
        <w:rPr>
          <w:rFonts w:hint="eastAsia" w:ascii="仿宋" w:hAnsi="仿宋" w:eastAsia="仿宋" w:cs="仿宋"/>
          <w:sz w:val="24"/>
          <w:szCs w:val="24"/>
          <w:lang w:eastAsia="zh-CN"/>
        </w:rPr>
        <w:t>乙方</w:t>
      </w:r>
      <w:r>
        <w:rPr>
          <w:rFonts w:hint="eastAsia" w:ascii="仿宋" w:hAnsi="仿宋" w:eastAsia="仿宋" w:cs="仿宋"/>
          <w:sz w:val="24"/>
          <w:szCs w:val="24"/>
        </w:rPr>
        <w:t>参与此项目现场测评人员不得少于8人，其中至少包含1名高级测评师，3名中级测评师，4名初级测评师。</w:t>
      </w:r>
      <w:r>
        <w:rPr>
          <w:rFonts w:hint="eastAsia" w:ascii="仿宋" w:hAnsi="仿宋" w:eastAsia="仿宋" w:cs="仿宋"/>
          <w:sz w:val="24"/>
          <w:szCs w:val="24"/>
          <w:lang w:eastAsia="zh-CN"/>
        </w:rPr>
        <w:t>乙方</w:t>
      </w:r>
      <w:r>
        <w:rPr>
          <w:rFonts w:hint="eastAsia" w:ascii="仿宋" w:hAnsi="仿宋" w:eastAsia="仿宋" w:cs="仿宋"/>
          <w:sz w:val="24"/>
          <w:szCs w:val="24"/>
        </w:rPr>
        <w:t>必须为本项目成立本地化等级保护测评小组，由测评小组组长统一负责，测评小组组长具有一定的技术及管理知识和经验，能容易地与客户沟通，能很好的执行与完成测评工作，并根据适当情况增加测评人员。</w:t>
      </w:r>
      <w:r>
        <w:rPr>
          <w:rFonts w:hint="eastAsia" w:ascii="仿宋" w:hAnsi="仿宋" w:eastAsia="仿宋" w:cs="仿宋"/>
          <w:sz w:val="24"/>
          <w:szCs w:val="24"/>
          <w:lang w:eastAsia="zh-CN"/>
        </w:rPr>
        <w:t>乙方</w:t>
      </w:r>
      <w:r>
        <w:rPr>
          <w:rFonts w:hint="eastAsia" w:ascii="仿宋" w:hAnsi="仿宋" w:eastAsia="仿宋" w:cs="仿宋"/>
          <w:sz w:val="24"/>
          <w:szCs w:val="24"/>
        </w:rPr>
        <w:t>应按等级保护测评要求制定测评过程中产生的文档，做到科学、规范、详尽、统一。</w:t>
      </w:r>
    </w:p>
    <w:p w14:paraId="04A0ACD6">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测评人员要求：本项目的测评人员需具有3年及以上测评工作经验，项目经理和质量负责人必须具备丰富的安全服务经验及相关资质认证，并提供人员管理及配备方案，并确保人员稳定。如需更换测评人员，须由采购单位同意。</w:t>
      </w:r>
    </w:p>
    <w:p w14:paraId="48683FF3">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项目管理要求：</w:t>
      </w:r>
    </w:p>
    <w:p w14:paraId="6B4B32D9">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3.1项目管理总体要求</w:t>
      </w:r>
    </w:p>
    <w:p w14:paraId="082C28F0">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应在被医院统一组织协调下，开展好前期调研、现场实施和报告撰写等工作。乙方所提供的项目经理和实施人员应是具有丰富经验和专业技能的技术骨干，应有同类项目经验。在乙方以往参与的项目中，应具有项目实施、熟悉项目需求和团队建设方面的优势。乙方应在项目全过程中严格遵循各项管理制度的要求，确保项目顺利开展。</w:t>
      </w:r>
    </w:p>
    <w:p w14:paraId="6AEBEDEB">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测评驻场人员要求：承担本次测评工作的乙方至少有1名高级测评师，2名中级测评师,2名初级测评师。本次等保测评服务不得转包或者分包，所有驻场测评师必须是乙方自己的正式在职员工,所有驻场测评师必须持证上岗，响应文件中应提供项目组驻场人员名单以及社保主管部门出具的响应单位为其缴纳社保的证明、驻场人员信息安全等级测评师证书复印件及原件，未经采购方同意，项目组成员不得更改。</w:t>
      </w:r>
    </w:p>
    <w:p w14:paraId="396B89F6">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3.2项目管理保密要求</w:t>
      </w:r>
    </w:p>
    <w:p w14:paraId="529FB849">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应与乙方签订正式保密协议，并在工作中坚持保密原则，确保应答人及其员工严格规范执行各项保密制度，杜绝任何泄密事件的发生。乙方需明确将采取的保密措施，对员工的保密管理措施，以及一旦发生泄密事件将采取的措施、需承担的责任。</w:t>
      </w:r>
    </w:p>
    <w:p w14:paraId="73D4E176">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3.3项目风险控制</w:t>
      </w:r>
    </w:p>
    <w:p w14:paraId="1CA64775">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乙方应能够对信息安全等级测评项目过程进行充分的风险考虑，并制定相应的风险规避措施和控制方法。在项目实施过程中，应做好计划与安排，不影响乙方正常业务工作的开展。</w:t>
      </w:r>
    </w:p>
    <w:p w14:paraId="0358A276">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4、测评服务原则</w:t>
      </w:r>
    </w:p>
    <w:p w14:paraId="6ABF8E6C">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为保障项目的顺利实施，乙方在项目实施过程须遵循以下原则：</w:t>
      </w:r>
    </w:p>
    <w:p w14:paraId="2ECD641E">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（1）规范性原则</w:t>
      </w:r>
    </w:p>
    <w:p w14:paraId="15C0511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加强项目管理，在人员、质量和时间进度等方面进行严格管控。</w:t>
      </w:r>
    </w:p>
    <w:p w14:paraId="7E34C6CA">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（2）标准化原则</w:t>
      </w:r>
    </w:p>
    <w:p w14:paraId="77B134A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测评过程须严格遵守国家的相关法律、法规、规范、标准等相关要求。</w:t>
      </w:r>
    </w:p>
    <w:p w14:paraId="0699A9A4">
      <w:pPr>
        <w:bidi w:val="0"/>
        <w:spacing w:line="360" w:lineRule="auto"/>
        <w:ind w:firstLine="720" w:firstLineChars="3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（3）完整性原则</w:t>
      </w:r>
    </w:p>
    <w:p w14:paraId="69311F35">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在测评过程中，必须确保测评数据、过程记录的完整性。评测内容要综合考虑所有评测对象的技术措施，并建立完整有效的评测流程，保证不存在影响评测结果的疏忽或遗漏。</w:t>
      </w:r>
    </w:p>
    <w:p w14:paraId="00E52E08">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（4）保密性原则</w:t>
      </w:r>
    </w:p>
    <w:p w14:paraId="2B98215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在测评过程中，切实加强对人员、技术等方面的组织管理；与采购人签署具有法律意义的保密协议，确保在项目实施过程中涉及的所有信息，不会泄露给第三方单位或个人，不得擅自利用这些信息。</w:t>
      </w:r>
    </w:p>
    <w:p w14:paraId="1E038D02">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（5）影响最小原则</w:t>
      </w:r>
    </w:p>
    <w:p w14:paraId="3F501378">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在项目实施的过程中，须充分考虑到相关活动对系统正常运行的不利影响，采取必要的措施将相关风险降到最低。</w:t>
      </w:r>
    </w:p>
    <w:p w14:paraId="38EAA301">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5、实施流程及工作内容要求：</w:t>
      </w:r>
    </w:p>
    <w:p w14:paraId="0DAA5AC1">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乙方应按照国家相关要求，从“定级-备案-等级测评-安全建设整改-配合监督检查”5个环节配合采购单位做好等级保护工作。其中针对等级测评工作过程，依据《信息安全技术 网络安全等级保护基本要求》（GB/T 22239-2019）、《信息安全技术 网络安全等级保护测评要求》（GB/T 28448-2019）和《信息安全技术 网络安全等级保护测评过程指南》（GB/T 28449-2018）等国家关于信息系统安全等级保护的相关标准和规范要求，严格按照流程开展工作。</w:t>
      </w:r>
    </w:p>
    <w:p w14:paraId="314F6D54">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、合同价款</w:t>
      </w:r>
    </w:p>
    <w:p w14:paraId="4771B187">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元整（￥</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1954ADD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（二）合同总价包括：</w:t>
      </w:r>
      <w:r>
        <w:rPr>
          <w:rFonts w:hint="eastAsia" w:ascii="仿宋" w:hAnsi="仿宋" w:eastAsia="仿宋" w:cs="仿宋"/>
          <w:sz w:val="24"/>
          <w:szCs w:val="24"/>
          <w:lang w:val="en-US" w:eastAsia="zh-CN"/>
        </w:rPr>
        <w:t>测评服务</w:t>
      </w:r>
      <w:r>
        <w:rPr>
          <w:rFonts w:hint="eastAsia" w:ascii="仿宋" w:hAnsi="仿宋" w:eastAsia="仿宋" w:cs="仿宋"/>
          <w:sz w:val="24"/>
          <w:szCs w:val="24"/>
        </w:rPr>
        <w:t>费、交通费、更换配件费、检测验收费及其它</w:t>
      </w:r>
      <w:r>
        <w:rPr>
          <w:rFonts w:hint="eastAsia" w:ascii="仿宋" w:hAnsi="仿宋" w:eastAsia="仿宋" w:cs="仿宋"/>
          <w:sz w:val="24"/>
          <w:szCs w:val="24"/>
          <w:lang w:val="en-US" w:eastAsia="zh-CN"/>
        </w:rPr>
        <w:t>因履行合同产生的所有</w:t>
      </w:r>
      <w:r>
        <w:rPr>
          <w:rFonts w:hint="eastAsia" w:ascii="仿宋" w:hAnsi="仿宋" w:eastAsia="仿宋" w:cs="仿宋"/>
          <w:sz w:val="24"/>
          <w:szCs w:val="24"/>
        </w:rPr>
        <w:t>费用。</w:t>
      </w:r>
    </w:p>
    <w:p w14:paraId="432FF6F2">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、款项结算</w:t>
      </w:r>
    </w:p>
    <w:p w14:paraId="26F1BB21">
      <w:pPr>
        <w:bidi w:val="0"/>
        <w:spacing w:line="360" w:lineRule="auto"/>
        <w:ind w:left="479" w:leftChars="228" w:firstLine="0" w:firstLineChars="0"/>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测评服务</w:t>
      </w:r>
      <w:r>
        <w:rPr>
          <w:rFonts w:hint="eastAsia" w:ascii="仿宋" w:hAnsi="仿宋" w:eastAsia="仿宋" w:cs="仿宋"/>
          <w:sz w:val="24"/>
          <w:szCs w:val="24"/>
        </w:rPr>
        <w:t>内容按甲方指定地点，</w:t>
      </w:r>
      <w:r>
        <w:rPr>
          <w:rFonts w:hint="eastAsia" w:ascii="仿宋" w:hAnsi="仿宋" w:eastAsia="仿宋" w:cs="仿宋"/>
          <w:sz w:val="24"/>
          <w:szCs w:val="24"/>
          <w:lang w:val="en-US" w:eastAsia="zh-CN"/>
        </w:rPr>
        <w:t>测评完成交付全部成果文件并经甲方</w:t>
      </w:r>
      <w:r>
        <w:rPr>
          <w:rFonts w:hint="eastAsia" w:ascii="仿宋" w:hAnsi="仿宋" w:eastAsia="仿宋" w:cs="仿宋"/>
          <w:sz w:val="24"/>
          <w:szCs w:val="24"/>
        </w:rPr>
        <w:t>验收合格后，乙方给甲方出具所签合同的全额完税发票后，甲方支付合同总价款的</w:t>
      </w:r>
      <w:r>
        <w:rPr>
          <w:rFonts w:hint="eastAsia" w:ascii="仿宋" w:hAnsi="仿宋" w:eastAsia="仿宋" w:cs="仿宋"/>
          <w:sz w:val="24"/>
          <w:szCs w:val="24"/>
          <w:lang w:val="en-US" w:eastAsia="zh-CN"/>
        </w:rPr>
        <w:t>50</w:t>
      </w:r>
      <w:r>
        <w:rPr>
          <w:rFonts w:hint="eastAsia" w:ascii="仿宋" w:hAnsi="仿宋" w:eastAsia="仿宋" w:cs="仿宋"/>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元整（￥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6AA9E72">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rPr>
        <w:t>留合同总价款的5</w:t>
      </w:r>
      <w:r>
        <w:rPr>
          <w:rFonts w:hint="eastAsia" w:ascii="仿宋" w:hAnsi="仿宋" w:eastAsia="仿宋" w:cs="仿宋"/>
          <w:sz w:val="24"/>
          <w:szCs w:val="24"/>
          <w:lang w:val="en-US" w:eastAsia="zh-CN"/>
        </w:rPr>
        <w:t>0</w:t>
      </w:r>
      <w:r>
        <w:rPr>
          <w:rFonts w:hint="eastAsia" w:ascii="仿宋" w:hAnsi="仿宋" w:eastAsia="仿宋" w:cs="仿宋"/>
          <w:sz w:val="24"/>
          <w:szCs w:val="24"/>
        </w:rPr>
        <w:t>%</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待质保期满后一次性无息支付。</w:t>
      </w:r>
    </w:p>
    <w:p w14:paraId="1FBB75A1">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元整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85F636C">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自验收合格之日</w:t>
      </w:r>
      <w:r>
        <w:rPr>
          <w:rFonts w:hint="eastAsia" w:ascii="仿宋" w:hAnsi="仿宋" w:eastAsia="仿宋" w:cs="仿宋"/>
          <w:sz w:val="24"/>
          <w:szCs w:val="24"/>
          <w:u w:val="single"/>
        </w:rPr>
        <w:t xml:space="preserve">  X </w:t>
      </w:r>
      <w:r>
        <w:rPr>
          <w:rFonts w:hint="eastAsia" w:ascii="仿宋" w:hAnsi="仿宋" w:eastAsia="仿宋" w:cs="仿宋"/>
          <w:sz w:val="24"/>
          <w:szCs w:val="24"/>
        </w:rPr>
        <w:t>（大写）年质保，甲方具体使用科室签署无质量问题结论后，将扣留质保金付清。</w:t>
      </w:r>
    </w:p>
    <w:p w14:paraId="1BC55534">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）支付方式：银行转帐。结算方式：发票直开甲方，到甲方办理付款手续。</w:t>
      </w:r>
      <w:r>
        <w:rPr>
          <w:rFonts w:hint="eastAsia" w:ascii="仿宋" w:hAnsi="仿宋" w:eastAsia="仿宋" w:cs="仿宋"/>
          <w:sz w:val="24"/>
          <w:szCs w:val="24"/>
          <w:lang w:val="en-US" w:eastAsia="zh-CN"/>
        </w:rPr>
        <w:t>甲方付款前乙方未向甲方提供全额合规发票的，甲方有权拒付任何款项且不承担任何责任，同时并不因此免除乙方的任意合同义务。</w:t>
      </w:r>
    </w:p>
    <w:p w14:paraId="1F999CF3">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成果交付时间：在采购单位同意进场实施后的60个自然日内交付电子版以及纸质版《等级保护测评项目系统测评方案》（每个系统一份）；《等级保护测评项目系统等级保护整改建议书》（每个系统一份）；《等级保护测评项目系统等级保护测评报告》（每个系统一份）。</w:t>
      </w:r>
    </w:p>
    <w:p w14:paraId="0FF02C01">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（五）成果交付要求</w:t>
      </w:r>
    </w:p>
    <w:p w14:paraId="747F62CC">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1、电子件:按 “合规文件 / 技术材料 / 管理文件 / 运营材料” 分类建文件夹，命名规范（如 “XX 医院 - 三级等保 - 数据加密实施记录 - 20250X”），U 盘或加密网盘交付。</w:t>
      </w:r>
    </w:p>
    <w:p w14:paraId="45B4AC5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2、纸质版:《等级保护测评项目系统测评方案》（每个系统一份）；</w:t>
      </w:r>
    </w:p>
    <w:p w14:paraId="002B68E7">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《等级保护测评项目系统等级保护整改建议书》（每个系统一份）；</w:t>
      </w:r>
    </w:p>
    <w:p w14:paraId="47BA8CAF">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《等级保护测评项目系统等级保护测评报告》（每个系统一份）。</w:t>
      </w:r>
    </w:p>
    <w:p w14:paraId="429F8332">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、验收</w:t>
      </w:r>
    </w:p>
    <w:p w14:paraId="1382CA8D">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（一）服务期满后，甲方根据招标文件、投标文件及相关文件资料，进行考核验收，确认服务标准和服务方式是否达到采购要求。</w:t>
      </w:r>
    </w:p>
    <w:p w14:paraId="031B95E9">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（二）甲方组织乙方,必要时请有关专家进行考核验收，验收合格后，填写政府采购项目验收单（一式伍份）作为对</w:t>
      </w:r>
      <w:r>
        <w:rPr>
          <w:rFonts w:hint="eastAsia" w:ascii="仿宋" w:hAnsi="仿宋" w:eastAsia="仿宋" w:cs="仿宋"/>
          <w:sz w:val="24"/>
          <w:szCs w:val="24"/>
          <w:lang w:val="en-US" w:eastAsia="zh-CN"/>
        </w:rPr>
        <w:t>测评</w:t>
      </w:r>
      <w:r>
        <w:rPr>
          <w:rFonts w:hint="eastAsia" w:ascii="仿宋" w:hAnsi="仿宋" w:eastAsia="仿宋" w:cs="仿宋"/>
          <w:sz w:val="24"/>
          <w:szCs w:val="24"/>
        </w:rPr>
        <w:t>服务的最终认可。</w:t>
      </w:r>
    </w:p>
    <w:p w14:paraId="3F08F534">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（三）乙方向甲方提供服务过程中的所有资料,以便甲方日后管理和维护。</w:t>
      </w:r>
    </w:p>
    <w:p w14:paraId="2593343E">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、合同其他事项</w:t>
      </w:r>
      <w:r>
        <w:rPr>
          <w:rFonts w:hint="eastAsia" w:ascii="仿宋" w:hAnsi="仿宋" w:eastAsia="仿宋" w:cs="仿宋"/>
          <w:sz w:val="24"/>
          <w:szCs w:val="24"/>
        </w:rPr>
        <w:t>：</w:t>
      </w:r>
    </w:p>
    <w:p w14:paraId="7F886609">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1、中标人未经招标人及有关部门同意，不得擅自变更本项目在磋商文件中认定的项目范围、组织方案和项目负责人（项目经理）和技术负责人。</w:t>
      </w:r>
    </w:p>
    <w:p w14:paraId="1CD72BC0">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2、中标人必须自行实施，不得转包、分包，一经发现将追究违约责任。为了确保项目质量，中标人应组织一支强有力的技术骨干队伍，建立严格的质量管理体系，规范操作。</w:t>
      </w:r>
    </w:p>
    <w:p w14:paraId="78D77D30">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3、中标人的投标文件和承诺以及补充意见等内容，将作为中标条件列入合同。</w:t>
      </w:r>
    </w:p>
    <w:p w14:paraId="065E6C1F">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4、项目验收：</w:t>
      </w:r>
      <w:r>
        <w:rPr>
          <w:rFonts w:hint="eastAsia" w:ascii="仿宋" w:hAnsi="仿宋" w:eastAsia="仿宋" w:cs="仿宋"/>
          <w:sz w:val="24"/>
          <w:szCs w:val="24"/>
        </w:rPr>
        <w:t>验收以符合国家标准、行业标准，以及</w:t>
      </w:r>
      <w:r>
        <w:rPr>
          <w:rFonts w:hint="eastAsia" w:ascii="仿宋" w:hAnsi="仿宋" w:eastAsia="仿宋" w:cs="仿宋"/>
          <w:sz w:val="24"/>
          <w:szCs w:val="24"/>
          <w:lang w:val="en-US" w:eastAsia="zh-CN"/>
        </w:rPr>
        <w:t>招标文件、中标文件、</w:t>
      </w:r>
      <w:r>
        <w:rPr>
          <w:rFonts w:hint="eastAsia" w:ascii="仿宋" w:hAnsi="仿宋" w:eastAsia="仿宋" w:cs="仿宋"/>
          <w:sz w:val="24"/>
          <w:szCs w:val="24"/>
        </w:rPr>
        <w:t>合同规定，并能实现本项目的为准。</w:t>
      </w:r>
    </w:p>
    <w:p w14:paraId="48AF1987">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七</w:t>
      </w:r>
      <w:r>
        <w:rPr>
          <w:rFonts w:hint="eastAsia" w:ascii="仿宋" w:hAnsi="仿宋" w:eastAsia="仿宋" w:cs="仿宋"/>
          <w:b/>
          <w:bCs/>
          <w:sz w:val="24"/>
          <w:szCs w:val="24"/>
        </w:rPr>
        <w:t>、违约责任</w:t>
      </w:r>
    </w:p>
    <w:p w14:paraId="61AE5887">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一）</w:t>
      </w:r>
      <w:r>
        <w:rPr>
          <w:rFonts w:hint="eastAsia" w:ascii="仿宋" w:hAnsi="仿宋" w:eastAsia="仿宋" w:cs="仿宋"/>
          <w:sz w:val="24"/>
          <w:szCs w:val="24"/>
        </w:rPr>
        <w:t>按《政府采购法》、《</w:t>
      </w:r>
      <w:r>
        <w:rPr>
          <w:rFonts w:hint="eastAsia" w:ascii="仿宋" w:hAnsi="仿宋" w:eastAsia="仿宋" w:cs="仿宋"/>
          <w:sz w:val="24"/>
          <w:szCs w:val="24"/>
          <w:lang w:val="en-US" w:eastAsia="zh-CN"/>
        </w:rPr>
        <w:t>民法典</w:t>
      </w:r>
      <w:r>
        <w:rPr>
          <w:rFonts w:hint="eastAsia" w:ascii="仿宋" w:hAnsi="仿宋" w:eastAsia="仿宋" w:cs="仿宋"/>
          <w:sz w:val="24"/>
          <w:szCs w:val="24"/>
        </w:rPr>
        <w:t>》中的相关条款执行。</w:t>
      </w:r>
    </w:p>
    <w:p w14:paraId="1E3E84F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rPr>
        <w:t>未按合同要求提供服务或质量不能满足招标文件技术要求，在约定的条件下，乙方必须无条件更换，提高技术，完善质量，否则，甲方有权解除合同。</w:t>
      </w:r>
    </w:p>
    <w:p w14:paraId="44225792">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（三）乙方未按合同要求时间交付合同约定的全部成果文件的，每逾期1日，乙方应向甲方支付合同总价款【 】%的违约金，逾期超过【 】日的，视为乙方根本违约，甲方有权单方解除本合同，乙方应向甲方支付合同总价款【 】%的违约金，违约金不足以弥补甲方损失的，乙方另行承担。</w:t>
      </w:r>
    </w:p>
    <w:p w14:paraId="20281425">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u w:val="none"/>
          <w:lang w:val="en-US" w:eastAsia="zh-CN"/>
        </w:rPr>
        <w:t>八</w:t>
      </w:r>
      <w:r>
        <w:rPr>
          <w:rFonts w:hint="eastAsia" w:ascii="仿宋" w:hAnsi="仿宋" w:eastAsia="仿宋" w:cs="仿宋"/>
          <w:b/>
          <w:bCs/>
          <w:sz w:val="24"/>
          <w:szCs w:val="24"/>
          <w:u w:val="none"/>
        </w:rPr>
        <w:t>、合同争议解决的方式</w:t>
      </w:r>
    </w:p>
    <w:p w14:paraId="6AB2940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本合同在履行过程中发生的争议，由甲、乙双方当事人协商解决，协商不成的按下列第</w:t>
      </w:r>
      <w:r>
        <w:rPr>
          <w:rFonts w:hint="eastAsia" w:ascii="仿宋" w:hAnsi="仿宋" w:eastAsia="仿宋" w:cs="仿宋"/>
          <w:sz w:val="24"/>
          <w:szCs w:val="24"/>
          <w:u w:val="single"/>
        </w:rPr>
        <w:t xml:space="preserve">  ② </w:t>
      </w:r>
      <w:r>
        <w:rPr>
          <w:rFonts w:hint="eastAsia" w:ascii="仿宋" w:hAnsi="仿宋" w:eastAsia="仿宋" w:cs="仿宋"/>
          <w:sz w:val="24"/>
          <w:szCs w:val="24"/>
        </w:rPr>
        <w:t xml:space="preserve"> 种方式解决：</w:t>
      </w:r>
    </w:p>
    <w:p w14:paraId="3F282119">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（一）提交</w:t>
      </w:r>
      <w:r>
        <w:rPr>
          <w:rFonts w:hint="eastAsia" w:ascii="仿宋" w:hAnsi="仿宋" w:eastAsia="仿宋" w:cs="仿宋"/>
          <w:sz w:val="24"/>
          <w:szCs w:val="24"/>
          <w:u w:val="single"/>
        </w:rPr>
        <w:t>西安</w:t>
      </w:r>
      <w:r>
        <w:rPr>
          <w:rFonts w:hint="eastAsia" w:ascii="仿宋" w:hAnsi="仿宋" w:eastAsia="仿宋" w:cs="仿宋"/>
          <w:sz w:val="24"/>
          <w:szCs w:val="24"/>
        </w:rPr>
        <w:t>仲裁委员会仲裁；</w:t>
      </w:r>
    </w:p>
    <w:p w14:paraId="1460706F">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（二）依法向甲方所在地人民法院起诉。</w:t>
      </w:r>
    </w:p>
    <w:p w14:paraId="17B9A8B5">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九</w:t>
      </w:r>
      <w:r>
        <w:rPr>
          <w:rFonts w:hint="eastAsia" w:ascii="仿宋" w:hAnsi="仿宋" w:eastAsia="仿宋" w:cs="仿宋"/>
          <w:b/>
          <w:bCs/>
          <w:sz w:val="24"/>
          <w:szCs w:val="24"/>
        </w:rPr>
        <w:t>、合同生效</w:t>
      </w:r>
    </w:p>
    <w:p w14:paraId="27AFABA9">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lang w:val="en-US" w:eastAsia="zh-CN"/>
        </w:rPr>
        <w:t>拾</w:t>
      </w:r>
      <w:r>
        <w:rPr>
          <w:rFonts w:hint="eastAsia" w:ascii="仿宋" w:hAnsi="仿宋" w:eastAsia="仿宋" w:cs="仿宋"/>
          <w:sz w:val="24"/>
          <w:szCs w:val="24"/>
        </w:rPr>
        <w:t>份，甲方执</w:t>
      </w:r>
      <w:r>
        <w:rPr>
          <w:rFonts w:hint="eastAsia" w:ascii="仿宋" w:hAnsi="仿宋" w:eastAsia="仿宋" w:cs="仿宋"/>
          <w:sz w:val="24"/>
          <w:szCs w:val="24"/>
          <w:u w:val="single"/>
          <w:lang w:val="en-US" w:eastAsia="zh-CN"/>
        </w:rPr>
        <w:t>柒</w:t>
      </w:r>
      <w:r>
        <w:rPr>
          <w:rFonts w:hint="eastAsia" w:ascii="仿宋" w:hAnsi="仿宋" w:eastAsia="仿宋" w:cs="仿宋"/>
          <w:sz w:val="24"/>
          <w:szCs w:val="24"/>
        </w:rPr>
        <w:t>份，乙方执</w:t>
      </w:r>
      <w:r>
        <w:rPr>
          <w:rFonts w:hint="eastAsia" w:ascii="仿宋" w:hAnsi="仿宋" w:eastAsia="仿宋" w:cs="仿宋"/>
          <w:sz w:val="24"/>
          <w:szCs w:val="24"/>
          <w:u w:val="single"/>
          <w:lang w:val="en-US" w:eastAsia="zh-CN"/>
        </w:rPr>
        <w:t>叁</w:t>
      </w:r>
      <w:r>
        <w:rPr>
          <w:rFonts w:hint="eastAsia" w:ascii="仿宋" w:hAnsi="仿宋" w:eastAsia="仿宋" w:cs="仿宋"/>
          <w:sz w:val="24"/>
          <w:szCs w:val="24"/>
        </w:rPr>
        <w:t>份，本合同甲、乙双方签字盖章后生效，合同执行完毕后，自动终止失效（合同的服务承诺则长期有效）。</w:t>
      </w:r>
    </w:p>
    <w:p w14:paraId="1165F3FA">
      <w:pPr>
        <w:bidi w:val="0"/>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十、其他事项</w:t>
      </w:r>
    </w:p>
    <w:p w14:paraId="23BD6CED">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（一）合同未尽事宜，由甲、乙双方协商、确认后，作为合同补充，与原合同具有同等法律效力。</w:t>
      </w:r>
    </w:p>
    <w:p w14:paraId="58726031">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（二）合同一经签订，不得擅自变更、中止或终止合同。对确需变更、调整或中止、终止合同的，应按规定履行相应的手续。</w:t>
      </w:r>
    </w:p>
    <w:p w14:paraId="70DB538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（三）本合同按照中华人民共和国的现行法律进行解释。</w:t>
      </w:r>
    </w:p>
    <w:p w14:paraId="028BB0F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（四）竞争性磋商文件、响应（投标）文件、澄清函（表）均为本合同不可分割的一部分，与本合同具有同等法律效力。</w:t>
      </w:r>
    </w:p>
    <w:p w14:paraId="44CCBA7C">
      <w:pPr>
        <w:bidi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（以下无正文）</w:t>
      </w:r>
    </w:p>
    <w:p w14:paraId="00891603">
      <w:pPr>
        <w:bidi w:val="0"/>
        <w:spacing w:line="360" w:lineRule="auto"/>
        <w:ind w:firstLine="480" w:firstLineChars="200"/>
        <w:rPr>
          <w:rFonts w:hint="eastAsia" w:ascii="仿宋" w:hAnsi="仿宋" w:eastAsia="仿宋" w:cs="仿宋"/>
          <w:sz w:val="24"/>
          <w:szCs w:val="24"/>
        </w:rPr>
      </w:pPr>
    </w:p>
    <w:p w14:paraId="0C63D1B3">
      <w:pPr>
        <w:bidi w:val="0"/>
        <w:spacing w:line="360" w:lineRule="auto"/>
        <w:ind w:firstLine="480" w:firstLineChars="200"/>
        <w:rPr>
          <w:rFonts w:hint="eastAsia" w:ascii="仿宋" w:hAnsi="仿宋" w:eastAsia="仿宋" w:cs="仿宋"/>
          <w:sz w:val="24"/>
          <w:szCs w:val="24"/>
        </w:rPr>
      </w:pPr>
    </w:p>
    <w:p w14:paraId="19370E5F">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71311D52">
      <w:pPr>
        <w:bidi w:val="0"/>
        <w:spacing w:line="360" w:lineRule="auto"/>
        <w:rPr>
          <w:rFonts w:hint="eastAsia" w:ascii="仿宋" w:hAnsi="仿宋" w:eastAsia="仿宋" w:cs="仿宋"/>
          <w:sz w:val="24"/>
          <w:szCs w:val="24"/>
        </w:rPr>
      </w:pPr>
    </w:p>
    <w:p w14:paraId="1BE49D2D">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 xml:space="preserve">法定代表人：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法定代表人： </w:t>
      </w:r>
    </w:p>
    <w:p w14:paraId="1407AB98">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                                    代理人：</w:t>
      </w:r>
    </w:p>
    <w:p w14:paraId="36A81294">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p w14:paraId="681E8447">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帐  号：</w:t>
      </w:r>
    </w:p>
    <w:p w14:paraId="38AA4708">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单位名称：西安市中心医院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单位名称：XXXXXXX</w:t>
      </w:r>
    </w:p>
    <w:p w14:paraId="67EDE02E">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  址：西安市</w:t>
      </w:r>
      <w:r>
        <w:rPr>
          <w:rFonts w:hint="eastAsia" w:ascii="仿宋" w:hAnsi="仿宋" w:eastAsia="仿宋" w:cs="仿宋"/>
          <w:sz w:val="24"/>
          <w:szCs w:val="24"/>
          <w:lang w:eastAsia="zh-CN"/>
        </w:rPr>
        <w:t>新城区西五路</w:t>
      </w:r>
      <w:r>
        <w:rPr>
          <w:rFonts w:hint="eastAsia" w:ascii="仿宋" w:hAnsi="仿宋" w:eastAsia="仿宋" w:cs="仿宋"/>
          <w:sz w:val="24"/>
          <w:szCs w:val="24"/>
          <w:lang w:val="en-US" w:eastAsia="zh-CN"/>
        </w:rPr>
        <w:t>161号</w:t>
      </w:r>
      <w:r>
        <w:rPr>
          <w:rFonts w:hint="eastAsia" w:ascii="仿宋" w:hAnsi="仿宋" w:eastAsia="仿宋" w:cs="仿宋"/>
          <w:sz w:val="24"/>
          <w:szCs w:val="24"/>
        </w:rPr>
        <w:t xml:space="preserve">          地  址：</w:t>
      </w:r>
    </w:p>
    <w:p w14:paraId="48B7CA69">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联系电话：                                联系电话：</w:t>
      </w:r>
    </w:p>
    <w:p w14:paraId="0A021E53">
      <w:pPr>
        <w:bidi w:val="0"/>
        <w:spacing w:line="360" w:lineRule="auto"/>
        <w:ind w:firstLine="480" w:firstLineChars="200"/>
        <w:rPr>
          <w:rFonts w:hint="eastAsia" w:ascii="仿宋" w:hAnsi="仿宋" w:eastAsia="仿宋" w:cs="仿宋"/>
        </w:rPr>
      </w:pPr>
      <w:r>
        <w:rPr>
          <w:rFonts w:hint="eastAsia" w:ascii="仿宋" w:hAnsi="仿宋" w:eastAsia="仿宋" w:cs="仿宋"/>
          <w:sz w:val="24"/>
          <w:szCs w:val="24"/>
        </w:rPr>
        <w:t>签订日期：                                签订日期：</w:t>
      </w:r>
      <w:r>
        <w:rPr>
          <w:rFonts w:hint="eastAsia" w:ascii="仿宋" w:hAnsi="仿宋" w:eastAsia="仿宋" w:cs="仿宋"/>
        </w:rPr>
        <w:t xml:space="preserve">  </w:t>
      </w:r>
    </w:p>
    <w:p w14:paraId="444DF889">
      <w:pPr>
        <w:ind w:firstLine="480"/>
        <w:rPr>
          <w:rFonts w:hint="eastAsia" w:ascii="仿宋" w:hAnsi="仿宋" w:eastAsia="仿宋" w:cs="仿宋"/>
          <w:lang w:val="en-US" w:eastAsia="zh-Hans"/>
        </w:rPr>
      </w:pPr>
    </w:p>
    <w:p w14:paraId="56BE633F">
      <w:pPr>
        <w:rPr>
          <w:rFonts w:hint="eastAsia" w:ascii="仿宋" w:hAnsi="仿宋" w:eastAsia="仿宋" w:cs="仿宋"/>
        </w:rPr>
      </w:pPr>
    </w:p>
    <w:p w14:paraId="6FB6BA59">
      <w:pPr>
        <w:rPr>
          <w:rFonts w:hint="eastAsia" w:ascii="仿宋" w:hAnsi="仿宋" w:eastAsia="仿宋" w:cs="仿宋"/>
          <w:lang w:val="en-US" w:eastAsia="zh-Hans"/>
        </w:rPr>
      </w:pPr>
    </w:p>
    <w:p w14:paraId="1B8896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宋?">
    <w:altName w:val="宋体"/>
    <w:panose1 w:val="00000000000000000000"/>
    <w:charset w:val="81"/>
    <w:family w:val="roman"/>
    <w:pitch w:val="default"/>
    <w:sig w:usb0="00000000" w:usb1="00000000" w:usb2="00000010" w:usb3="00000000" w:csb0="0008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B0773E"/>
    <w:rsid w:val="20911D1F"/>
    <w:rsid w:val="23B0773E"/>
    <w:rsid w:val="6D196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微软雅黑" w:cs="Arial"/>
      <w:b/>
      <w:snapToGrid w:val="0"/>
      <w:color w:val="000000"/>
      <w:kern w:val="44"/>
      <w:sz w:val="32"/>
      <w:szCs w:val="21"/>
      <w:lang w:eastAsia="en-US"/>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2025-12-26T06:27:00Z</dcterms:created>
  <dc:creator>什么糖</dc:creator>
  <cp:lastModifiedBy>什么糖</cp:lastModifiedBy>
  <dcterms:modified xsi:type="dcterms:W3CDTF">2025-12-26T06:28:23Z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3252952314AE4857AC9525C496DEC1E5_11</vt:lpwstr>
  </property>
  <property fmtid="{D5CDD505-2E9C-101B-9397-08002B2CF9AE}" pid="4" name="KSOTemplateDocerSaveRecord">
    <vt:lpwstr>eyJoZGlkIjoiZTcyNDYxZWYwOGMxN2E3OTJmMGNlYzYzNDM1ODAyYWYiLCJ1c2VySWQiOiI2MjQzMzA2NDUifQ==</vt:lpwstr>
  </property>
</Properties>
</file>