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版本号：HYJSZC2025081.1B120251224001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高陵区农村“水暖炕”改造项目(二次)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HYJSZC2025081.1B1</w:t>
      </w:r>
      <w:r>
        <w:br/>
      </w:r>
      <w:r>
        <w:br/>
      </w:r>
      <w:r>
        <w:br/>
      </w:r>
    </w:p>
    <w:p>
      <w:pPr>
        <w:pStyle w:val="null3"/>
        <w:jc w:val="center"/>
        <w:outlineLvl w:val="2"/>
      </w:pPr>
      <w:r>
        <w:rPr>
          <w:rFonts w:ascii="仿宋_GB2312" w:hAnsi="仿宋_GB2312" w:cs="仿宋_GB2312" w:eastAsia="仿宋_GB2312"/>
          <w:sz w:val="28"/>
          <w:b/>
        </w:rPr>
        <w:t>西安市生态环境局高陵分局</w:t>
      </w:r>
    </w:p>
    <w:p>
      <w:pPr>
        <w:pStyle w:val="null3"/>
        <w:jc w:val="center"/>
        <w:outlineLvl w:val="2"/>
      </w:pPr>
      <w:r>
        <w:rPr>
          <w:rFonts w:ascii="仿宋_GB2312" w:hAnsi="仿宋_GB2312" w:cs="仿宋_GB2312" w:eastAsia="仿宋_GB2312"/>
          <w:sz w:val="28"/>
          <w:b/>
        </w:rPr>
        <w:t>陕西华远建设项目管理有限公司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陕西华远建设项目管理有限公司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西安市生态环境局高陵分局</w:t>
      </w:r>
      <w:r>
        <w:rPr>
          <w:rFonts w:ascii="仿宋_GB2312" w:hAnsi="仿宋_GB2312" w:cs="仿宋_GB2312" w:eastAsia="仿宋_GB2312"/>
        </w:rPr>
        <w:t>委托，拟对</w:t>
      </w:r>
      <w:r>
        <w:rPr>
          <w:rFonts w:ascii="仿宋_GB2312" w:hAnsi="仿宋_GB2312" w:cs="仿宋_GB2312" w:eastAsia="仿宋_GB2312"/>
        </w:rPr>
        <w:t>高陵区农村“水暖炕”改造项目(二次)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HYJSZC2025081.1B1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高陵区农村“水暖炕”改造项目(二次)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采购1070套水暖炕改造设备，完成全区1070户农村“水暖炕”改造建设工作，着力解决农村区域生物质燃烧问题。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采购包1（高陵区农村“水暖炕”改造项目）：属于专门面向中小企业采购。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3、社保缴纳证明：提供谈判时间前6个月内任意时段的缴纳证明。依法不需要交纳社会保障资金的供应商应提供相关文件证明。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谈判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身份证明或法定代表人授权委托书：法定代表人直接参加谈判的，须提供法定代表人身份证明及其身份证电子件或扫描件；法定代表人授权他人参加谈判的，须提供法定代表人授权委托书（附法定代表人、被授权人身份证电子件或扫描件）。</w:t>
      </w:r>
    </w:p>
    <w:p>
      <w:pPr>
        <w:pStyle w:val="null3"/>
      </w:pPr>
      <w:r>
        <w:rPr>
          <w:rFonts w:ascii="仿宋_GB2312" w:hAnsi="仿宋_GB2312" w:cs="仿宋_GB2312" w:eastAsia="仿宋_GB2312"/>
        </w:rPr>
        <w:t>9、信用记录声明：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11、供应商书面声明：供应商未为本项目提供整体设计、规范编制或者项目管理、监理、检测等服务的书面声明。</w:t>
      </w:r>
    </w:p>
    <w:p>
      <w:pPr>
        <w:pStyle w:val="null3"/>
      </w:pPr>
      <w:r>
        <w:rPr>
          <w:rFonts w:ascii="仿宋_GB2312" w:hAnsi="仿宋_GB2312" w:cs="仿宋_GB2312" w:eastAsia="仿宋_GB2312"/>
        </w:rPr>
        <w:t>12、供应商参与谈判的承诺函：符合竞争性谈判文件要求。</w:t>
      </w:r>
    </w:p>
    <w:p>
      <w:pPr>
        <w:pStyle w:val="null3"/>
      </w:pPr>
      <w:r>
        <w:rPr>
          <w:rFonts w:ascii="仿宋_GB2312" w:hAnsi="仿宋_GB2312" w:cs="仿宋_GB2312" w:eastAsia="仿宋_GB2312"/>
        </w:rPr>
        <w:t>13、本项目不接受联合体投标，不允许分包：符合竞争性谈判文件要求。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18792796458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陕西华远建设项目管理有限公司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陕西省西安市曲江新区雁翔路3269号旺座曲江K座501室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13201702738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中规定的标准计取。由成交人（或中标人）在领取成交（或中标）通知书前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西安市生态环境局高陵分局</w:t>
      </w:r>
      <w:r>
        <w:rPr>
          <w:rFonts w:ascii="仿宋_GB2312" w:hAnsi="仿宋_GB2312" w:cs="仿宋_GB2312" w:eastAsia="仿宋_GB2312"/>
        </w:rPr>
        <w:t>和</w:t>
      </w:r>
      <w:r>
        <w:rPr>
          <w:rFonts w:ascii="仿宋_GB2312" w:hAnsi="仿宋_GB2312" w:cs="仿宋_GB2312" w:eastAsia="仿宋_GB2312"/>
        </w:rPr>
        <w:t>陕西华远建设项目管理有限公司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西安市生态环境局高陵分局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陕西华远建设项目管理有限公司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西安市生态环境局高陵分局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陕西华远建设项目管理有限公司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联系人：王坚</w:t>
      </w:r>
    </w:p>
    <w:p>
      <w:pPr>
        <w:pStyle w:val="null3"/>
      </w:pPr>
      <w:r>
        <w:rPr>
          <w:rFonts w:ascii="仿宋_GB2312" w:hAnsi="仿宋_GB2312" w:cs="仿宋_GB2312" w:eastAsia="仿宋_GB2312"/>
        </w:rPr>
        <w:t>联系电话：13201702738</w:t>
      </w:r>
    </w:p>
    <w:p>
      <w:pPr>
        <w:pStyle w:val="null3"/>
      </w:pPr>
      <w:r>
        <w:rPr>
          <w:rFonts w:ascii="仿宋_GB2312" w:hAnsi="仿宋_GB2312" w:cs="仿宋_GB2312" w:eastAsia="仿宋_GB2312"/>
        </w:rPr>
        <w:t>地址：陕西省西安市曲江新区雁翔路3269号旺座曲江K座501室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采购1070套水暖炕改造设备，完成全区1070户农村“水暖炕”改造建设工作，着力解决农村区域生物质燃烧问题。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535,000.00</w:t>
      </w:r>
    </w:p>
    <w:p>
      <w:pPr>
        <w:pStyle w:val="null3"/>
      </w:pPr>
      <w:r>
        <w:rPr>
          <w:rFonts w:ascii="仿宋_GB2312" w:hAnsi="仿宋_GB2312" w:cs="仿宋_GB2312" w:eastAsia="仿宋_GB2312"/>
        </w:rPr>
        <w:t>采购包最高限价（元）: 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1,070.00</w:t>
            </w:r>
          </w:p>
        </w:tc>
        <w:tc>
          <w:tcPr>
            <w:tcW w:type="dxa" w:w="831"/>
          </w:tcPr>
          <w:p>
            <w:pPr>
              <w:pStyle w:val="null3"/>
              <w:jc w:val="right"/>
            </w:pPr>
            <w:r>
              <w:rPr>
                <w:rFonts w:ascii="仿宋_GB2312" w:hAnsi="仿宋_GB2312" w:cs="仿宋_GB2312" w:eastAsia="仿宋_GB2312"/>
              </w:rPr>
              <w:t>535,000.00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r>
              <w:rPr>
                <w:rFonts w:ascii="仿宋_GB2312" w:hAnsi="仿宋_GB2312" w:cs="仿宋_GB2312" w:eastAsia="仿宋_GB2312"/>
                <w:sz w:val="20"/>
              </w:rPr>
              <w:t>采购</w:t>
            </w:r>
            <w:r>
              <w:rPr>
                <w:rFonts w:ascii="仿宋_GB2312" w:hAnsi="仿宋_GB2312" w:cs="仿宋_GB2312" w:eastAsia="仿宋_GB2312"/>
                <w:sz w:val="20"/>
              </w:rPr>
              <w:t>1070套水暖炕改造设备，完成全区1070户农村“水暖炕”改造建设工作，</w:t>
            </w:r>
            <w:r>
              <w:rPr>
                <w:rFonts w:ascii="仿宋_GB2312" w:hAnsi="仿宋_GB2312" w:cs="仿宋_GB2312" w:eastAsia="仿宋_GB2312"/>
                <w:sz w:val="20"/>
              </w:rPr>
              <w:t>着力解决农村区域生物质燃烧问题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二、服务内容：</w:t>
            </w:r>
          </w:p>
          <w:p>
            <w:pPr>
              <w:pStyle w:val="null3"/>
              <w:jc w:val="left"/>
            </w:pPr>
            <w:r>
              <w:rPr>
                <w:rFonts w:ascii="仿宋_GB2312" w:hAnsi="仿宋_GB2312" w:cs="仿宋_GB2312" w:eastAsia="仿宋_GB2312"/>
                <w:sz w:val="20"/>
              </w:rPr>
              <w:t>1.采购1070套水暖炕改造设</w:t>
            </w:r>
            <w:r>
              <w:rPr>
                <w:rFonts w:ascii="仿宋_GB2312" w:hAnsi="仿宋_GB2312" w:cs="仿宋_GB2312" w:eastAsia="仿宋_GB2312"/>
                <w:sz w:val="20"/>
              </w:rPr>
              <w:t>备并完成安装和调试工作，确保安装用户正常使用。</w:t>
            </w:r>
          </w:p>
          <w:p>
            <w:pPr>
              <w:pStyle w:val="null3"/>
              <w:jc w:val="both"/>
            </w:pPr>
            <w:r>
              <w:rPr>
                <w:rFonts w:ascii="仿宋_GB2312" w:hAnsi="仿宋_GB2312" w:cs="仿宋_GB2312" w:eastAsia="仿宋_GB2312"/>
                <w:sz w:val="20"/>
              </w:rPr>
              <w:t>2.本项目分两个阶段实施，第一阶段完成采购预算价款的30%；第二阶段具体实施时间接采购人通知后实施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三、商务要求</w:t>
            </w:r>
          </w:p>
          <w:p>
            <w:pPr>
              <w:pStyle w:val="null3"/>
              <w:jc w:val="left"/>
            </w:pPr>
            <w:r>
              <w:rPr>
                <w:rFonts w:ascii="仿宋_GB2312" w:hAnsi="仿宋_GB2312" w:cs="仿宋_GB2312" w:eastAsia="仿宋_GB2312"/>
                <w:sz w:val="20"/>
              </w:rPr>
              <w:t>（一）供货期限</w:t>
            </w:r>
          </w:p>
          <w:p>
            <w:pPr>
              <w:pStyle w:val="null3"/>
              <w:jc w:val="left"/>
            </w:pPr>
            <w:r>
              <w:rPr>
                <w:rFonts w:ascii="仿宋_GB2312" w:hAnsi="仿宋_GB2312" w:cs="仿宋_GB2312" w:eastAsia="仿宋_GB2312"/>
                <w:sz w:val="20"/>
              </w:rPr>
              <w:t>自合同签订之日起</w:t>
            </w:r>
            <w:r>
              <w:rPr>
                <w:rFonts w:ascii="仿宋_GB2312" w:hAnsi="仿宋_GB2312" w:cs="仿宋_GB2312" w:eastAsia="仿宋_GB2312"/>
                <w:sz w:val="20"/>
              </w:rPr>
              <w:t>7</w:t>
            </w:r>
            <w:r>
              <w:rPr>
                <w:rFonts w:ascii="仿宋_GB2312" w:hAnsi="仿宋_GB2312" w:cs="仿宋_GB2312" w:eastAsia="仿宋_GB2312"/>
                <w:sz w:val="20"/>
              </w:rPr>
              <w:t>日历天。</w:t>
            </w:r>
          </w:p>
          <w:p>
            <w:pPr>
              <w:pStyle w:val="null3"/>
              <w:jc w:val="left"/>
            </w:pPr>
            <w:r>
              <w:rPr>
                <w:rFonts w:ascii="仿宋_GB2312" w:hAnsi="仿宋_GB2312" w:cs="仿宋_GB2312" w:eastAsia="仿宋_GB2312"/>
                <w:sz w:val="20"/>
              </w:rPr>
              <w:t>（二）款项结算</w:t>
            </w:r>
          </w:p>
          <w:p>
            <w:pPr>
              <w:pStyle w:val="null3"/>
              <w:jc w:val="left"/>
            </w:pPr>
            <w:r>
              <w:rPr>
                <w:rFonts w:ascii="仿宋_GB2312" w:hAnsi="仿宋_GB2312" w:cs="仿宋_GB2312" w:eastAsia="仿宋_GB2312"/>
                <w:sz w:val="20"/>
              </w:rPr>
              <w:t>①第一阶段实施完成并验收合格，根据实际发生的数量据实结算，最多支付至合同暂定金额的30%。</w:t>
            </w:r>
          </w:p>
          <w:p>
            <w:pPr>
              <w:pStyle w:val="null3"/>
              <w:jc w:val="left"/>
            </w:pPr>
            <w:r>
              <w:rPr>
                <w:rFonts w:ascii="仿宋_GB2312" w:hAnsi="仿宋_GB2312" w:cs="仿宋_GB2312" w:eastAsia="仿宋_GB2312"/>
                <w:sz w:val="20"/>
              </w:rPr>
              <w:t>②第二阶段实施完成并验收合格，根据实际发生数量一次性支付剩余款项。</w:t>
            </w:r>
          </w:p>
          <w:p>
            <w:pPr>
              <w:pStyle w:val="null3"/>
              <w:jc w:val="left"/>
            </w:pPr>
            <w:r>
              <w:rPr>
                <w:rFonts w:ascii="仿宋_GB2312" w:hAnsi="仿宋_GB2312" w:cs="仿宋_GB2312" w:eastAsia="仿宋_GB2312"/>
                <w:sz w:val="20"/>
              </w:rPr>
              <w:t>（三）质量要求：符合国家相关质量标准和安全要求，并满足采购人的采购要求。</w:t>
            </w:r>
          </w:p>
          <w:p>
            <w:pPr>
              <w:pStyle w:val="null3"/>
              <w:jc w:val="left"/>
            </w:pPr>
            <w:r>
              <w:rPr>
                <w:rFonts w:ascii="仿宋_GB2312" w:hAnsi="仿宋_GB2312" w:cs="仿宋_GB2312" w:eastAsia="仿宋_GB2312"/>
                <w:sz w:val="20"/>
              </w:rPr>
              <w:t>（四）质量验收标准或规范：</w:t>
            </w:r>
          </w:p>
          <w:p>
            <w:pPr>
              <w:pStyle w:val="null3"/>
              <w:jc w:val="left"/>
            </w:pPr>
            <w:r>
              <w:rPr>
                <w:rFonts w:ascii="仿宋_GB2312" w:hAnsi="仿宋_GB2312" w:cs="仿宋_GB2312" w:eastAsia="仿宋_GB2312"/>
                <w:sz w:val="20"/>
              </w:rPr>
              <w:t>1.本项目采用一般程序进行验收。项目验收另有国家强制性规定的，按国家规定执行，验收费用由乙方承担，验收报告作为申请付款的凭证之一。</w:t>
            </w:r>
          </w:p>
          <w:p>
            <w:pPr>
              <w:pStyle w:val="null3"/>
              <w:jc w:val="left"/>
            </w:pPr>
            <w:r>
              <w:rPr>
                <w:rFonts w:ascii="仿宋_GB2312" w:hAnsi="仿宋_GB2312" w:cs="仿宋_GB2312" w:eastAsia="仿宋_GB2312"/>
                <w:sz w:val="20"/>
              </w:rPr>
              <w:t>2.验收过程中产生纠纷的，由质量技术监督部门认定的检测机构检测,如为乙方原因造成的，由乙方承担检测费用；否则由甲方承担。</w:t>
            </w:r>
          </w:p>
          <w:p>
            <w:pPr>
              <w:pStyle w:val="null3"/>
              <w:jc w:val="left"/>
            </w:pPr>
            <w:r>
              <w:rPr>
                <w:rFonts w:ascii="仿宋_GB2312" w:hAnsi="仿宋_GB2312" w:cs="仿宋_GB2312" w:eastAsia="仿宋_GB2312"/>
                <w:sz w:val="20"/>
              </w:rPr>
              <w:t>3.项目验收不合格，由乙方返工直至合格，有关返工、再行验收，以及给甲方造成的损失等费用由乙方承担。连续两次项目验收不合格的，甲方可终止合同，另行按规定选择其他供应商采购，由此带来的一切损失由乙方承担。</w:t>
            </w:r>
          </w:p>
          <w:p>
            <w:pPr>
              <w:pStyle w:val="null3"/>
              <w:jc w:val="left"/>
            </w:pPr>
            <w:r>
              <w:rPr>
                <w:rFonts w:ascii="仿宋_GB2312" w:hAnsi="仿宋_GB2312" w:cs="仿宋_GB2312" w:eastAsia="仿宋_GB2312"/>
                <w:sz w:val="20"/>
              </w:rPr>
              <w:t>4.到货完成全部产品安装、调试、部署后开展项目初验，项目初验合格稳定运行三个月，各项指标参数均符合本次项目采购需求后开展项目最终验收。</w:t>
            </w:r>
          </w:p>
          <w:p>
            <w:pPr>
              <w:pStyle w:val="null3"/>
              <w:jc w:val="left"/>
            </w:pPr>
            <w:r>
              <w:rPr>
                <w:rFonts w:ascii="仿宋_GB2312" w:hAnsi="仿宋_GB2312" w:cs="仿宋_GB2312" w:eastAsia="仿宋_GB2312"/>
                <w:sz w:val="20"/>
              </w:rPr>
              <w:t>5.项目验收前，乙方应将项目有关的全部资料，包括产品合格证、检测证书、产品资料、技术文档等移交甲方，项目资料作为验收的重要依据。</w:t>
            </w:r>
          </w:p>
          <w:p>
            <w:pPr>
              <w:pStyle w:val="null3"/>
              <w:jc w:val="left"/>
            </w:pPr>
            <w:r>
              <w:rPr>
                <w:rFonts w:ascii="仿宋_GB2312" w:hAnsi="仿宋_GB2312" w:cs="仿宋_GB2312" w:eastAsia="仿宋_GB2312"/>
                <w:sz w:val="20"/>
              </w:rPr>
              <w:t>（五）质保期：自项目验收合格之日起</w:t>
            </w:r>
            <w:r>
              <w:rPr>
                <w:rFonts w:ascii="仿宋_GB2312" w:hAnsi="仿宋_GB2312" w:cs="仿宋_GB2312" w:eastAsia="仿宋_GB2312"/>
                <w:sz w:val="20"/>
              </w:rPr>
              <w:t>3年</w:t>
            </w:r>
          </w:p>
          <w:p>
            <w:pPr>
              <w:pStyle w:val="null3"/>
              <w:jc w:val="left"/>
            </w:pPr>
            <w:r>
              <w:rPr>
                <w:rFonts w:ascii="仿宋_GB2312" w:hAnsi="仿宋_GB2312" w:cs="仿宋_GB2312" w:eastAsia="仿宋_GB2312"/>
                <w:sz w:val="20"/>
              </w:rPr>
              <w:t>（六）产品要求：</w:t>
            </w:r>
            <w:r>
              <w:rPr>
                <w:rFonts w:ascii="仿宋_GB2312" w:hAnsi="仿宋_GB2312" w:cs="仿宋_GB2312" w:eastAsia="仿宋_GB2312"/>
                <w:sz w:val="20"/>
              </w:rPr>
              <w:t>“水暖炕”设备坚持质量第一，安全可靠，节能环保。该产品要具备抗折、抗压、耐高温、过热保护、漏电保护等安全功能。</w:t>
            </w:r>
          </w:p>
          <w:p>
            <w:pPr>
              <w:pStyle w:val="null3"/>
              <w:jc w:val="left"/>
            </w:pPr>
            <w:r>
              <w:rPr>
                <w:rFonts w:ascii="仿宋_GB2312" w:hAnsi="仿宋_GB2312" w:cs="仿宋_GB2312" w:eastAsia="仿宋_GB2312"/>
                <w:sz w:val="20"/>
              </w:rPr>
              <w:t>（七）违约责任与解决争议的方法：合同执行中发生争议的，当事人双方应协商解决，协商达不成一致时，可向人民法院提请诉讼。</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b/>
              </w:rPr>
              <w:t>四、技术要求</w:t>
            </w:r>
          </w:p>
          <w:p>
            <w:pPr>
              <w:pStyle w:val="null3"/>
              <w:jc w:val="left"/>
            </w:pPr>
            <w:r>
              <w:rPr>
                <w:rFonts w:ascii="仿宋_GB2312" w:hAnsi="仿宋_GB2312" w:cs="仿宋_GB2312" w:eastAsia="仿宋_GB2312"/>
                <w:sz w:val="20"/>
              </w:rPr>
              <w:t>1、主机</w:t>
            </w:r>
          </w:p>
          <w:p>
            <w:pPr>
              <w:pStyle w:val="null3"/>
              <w:jc w:val="left"/>
            </w:pPr>
            <w:r>
              <w:rPr>
                <w:rFonts w:ascii="仿宋_GB2312" w:hAnsi="仿宋_GB2312" w:cs="仿宋_GB2312" w:eastAsia="仿宋_GB2312"/>
                <w:sz w:val="20"/>
              </w:rPr>
              <w:t>①</w:t>
            </w:r>
            <w:r>
              <w:rPr>
                <w:rFonts w:ascii="仿宋_GB2312" w:hAnsi="仿宋_GB2312" w:cs="仿宋_GB2312" w:eastAsia="仿宋_GB2312"/>
                <w:sz w:val="20"/>
              </w:rPr>
              <w:t>采用</w:t>
            </w:r>
            <w:r>
              <w:rPr>
                <w:rFonts w:ascii="仿宋_GB2312" w:hAnsi="仿宋_GB2312" w:cs="仿宋_GB2312" w:eastAsia="仿宋_GB2312"/>
                <w:sz w:val="20"/>
              </w:rPr>
              <w:t>PTC陶瓷水电分离加热</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功率在</w:t>
            </w:r>
            <w:r>
              <w:rPr>
                <w:rFonts w:ascii="仿宋_GB2312" w:hAnsi="仿宋_GB2312" w:cs="仿宋_GB2312" w:eastAsia="仿宋_GB2312"/>
                <w:sz w:val="20"/>
              </w:rPr>
              <w:t>800</w:t>
            </w:r>
            <w:r>
              <w:rPr>
                <w:rFonts w:ascii="仿宋_GB2312" w:hAnsi="仿宋_GB2312" w:cs="仿宋_GB2312" w:eastAsia="仿宋_GB2312"/>
                <w:sz w:val="20"/>
              </w:rPr>
              <w:t>W</w:t>
            </w:r>
            <w:r>
              <w:rPr>
                <w:rFonts w:ascii="仿宋_GB2312" w:hAnsi="仿宋_GB2312" w:cs="仿宋_GB2312" w:eastAsia="仿宋_GB2312"/>
                <w:sz w:val="20"/>
              </w:rPr>
              <w:t>-1200W之间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加热器温度可任意调节</w:t>
            </w:r>
            <w:r>
              <w:rPr>
                <w:rFonts w:ascii="仿宋_GB2312" w:hAnsi="仿宋_GB2312" w:cs="仿宋_GB2312" w:eastAsia="仿宋_GB2312"/>
                <w:sz w:val="20"/>
              </w:rPr>
              <w:t>(带遥控器)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最高温度设置</w:t>
            </w:r>
            <w:r>
              <w:rPr>
                <w:rFonts w:ascii="仿宋_GB2312" w:hAnsi="仿宋_GB2312" w:cs="仿宋_GB2312" w:eastAsia="仿宋_GB2312"/>
                <w:sz w:val="20"/>
              </w:rPr>
              <w:t>≥60摄氏度</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⑤</w:t>
            </w:r>
            <w:r>
              <w:rPr>
                <w:rFonts w:ascii="仿宋_GB2312" w:hAnsi="仿宋_GB2312" w:cs="仿宋_GB2312" w:eastAsia="仿宋_GB2312"/>
                <w:sz w:val="20"/>
              </w:rPr>
              <w:t>超静音直流水泵输入功率</w:t>
            </w:r>
            <w:r>
              <w:rPr>
                <w:rFonts w:ascii="仿宋_GB2312" w:hAnsi="仿宋_GB2312" w:cs="仿宋_GB2312" w:eastAsia="仿宋_GB2312"/>
                <w:sz w:val="20"/>
              </w:rPr>
              <w:t>≥3w，直流水泵额定电压≥12V，最大流量每分钟≥5升;扬程≥1.7 米</w:t>
            </w:r>
            <w:r>
              <w:rPr>
                <w:rFonts w:ascii="仿宋_GB2312" w:hAnsi="仿宋_GB2312" w:cs="仿宋_GB2312" w:eastAsia="仿宋_GB2312"/>
                <w:sz w:val="20"/>
              </w:rPr>
              <w:t>，</w:t>
            </w:r>
            <w:r>
              <w:rPr>
                <w:rFonts w:ascii="仿宋_GB2312" w:hAnsi="仿宋_GB2312" w:cs="仿宋_GB2312" w:eastAsia="仿宋_GB2312"/>
                <w:sz w:val="20"/>
              </w:rPr>
              <w:t>噪声</w:t>
            </w:r>
            <w:r>
              <w:rPr>
                <w:rFonts w:ascii="仿宋_GB2312" w:hAnsi="仿宋_GB2312" w:cs="仿宋_GB2312" w:eastAsia="仿宋_GB2312"/>
                <w:sz w:val="20"/>
              </w:rPr>
              <w:t>≤40分贝</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⑥直流水泵匹配的线路板有变压器，把高压电和低压电分开控制，行业称之为隔离方案线路板，控制面板为5V 直流电压。有高温断电、断水断电、干烧漏电保护等多重功能;</w:t>
            </w:r>
          </w:p>
          <w:p>
            <w:pPr>
              <w:pStyle w:val="null3"/>
              <w:jc w:val="both"/>
            </w:pPr>
            <w:r>
              <w:rPr>
                <w:rFonts w:ascii="仿宋_GB2312" w:hAnsi="仿宋_GB2312" w:cs="仿宋_GB2312" w:eastAsia="仿宋_GB2312"/>
                <w:sz w:val="20"/>
              </w:rPr>
              <w:t>⑦PTC 发热金属体（加热体）具备国家认可的第三方检测机构出具的 ROHS 验证报告；</w:t>
            </w:r>
          </w:p>
          <w:p>
            <w:pPr>
              <w:pStyle w:val="null3"/>
              <w:jc w:val="both"/>
            </w:pPr>
            <w:r>
              <w:rPr>
                <w:rFonts w:ascii="仿宋_GB2312" w:hAnsi="仿宋_GB2312" w:cs="仿宋_GB2312" w:eastAsia="仿宋_GB2312"/>
                <w:sz w:val="20"/>
              </w:rPr>
              <w:t>⑧电源配件须有 CCC 认证；</w:t>
            </w:r>
          </w:p>
          <w:p>
            <w:pPr>
              <w:pStyle w:val="null3"/>
              <w:jc w:val="both"/>
            </w:pPr>
            <w:r>
              <w:rPr>
                <w:rFonts w:ascii="仿宋_GB2312" w:hAnsi="仿宋_GB2312" w:cs="仿宋_GB2312" w:eastAsia="仿宋_GB2312"/>
                <w:sz w:val="20"/>
              </w:rPr>
              <w:t>⑨水箱容积≥950 毫升；</w:t>
            </w:r>
          </w:p>
          <w:p>
            <w:pPr>
              <w:pStyle w:val="null3"/>
              <w:jc w:val="both"/>
            </w:pPr>
            <w:r>
              <w:rPr>
                <w:rFonts w:ascii="仿宋_GB2312" w:hAnsi="仿宋_GB2312" w:cs="仿宋_GB2312" w:eastAsia="仿宋_GB2312"/>
                <w:sz w:val="20"/>
              </w:rPr>
              <w:t>⑩制造商授权货物的安全责任须保险公司通过产品责任险承保，且保单在有效期内。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炕板</w:t>
            </w:r>
          </w:p>
          <w:p>
            <w:pPr>
              <w:pStyle w:val="null3"/>
              <w:jc w:val="both"/>
            </w:pPr>
            <w:r>
              <w:rPr>
                <w:rFonts w:ascii="仿宋_GB2312" w:hAnsi="仿宋_GB2312" w:cs="仿宋_GB2312" w:eastAsia="仿宋_GB2312"/>
                <w:sz w:val="20"/>
              </w:rPr>
              <w:t>①采用高密度嵌入式环保挤塑阻燃材料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表面采用铝膜工艺，板材厚度</w:t>
            </w:r>
            <w:r>
              <w:rPr>
                <w:rFonts w:ascii="仿宋_GB2312" w:hAnsi="仿宋_GB2312" w:cs="仿宋_GB2312" w:eastAsia="仿宋_GB2312"/>
                <w:sz w:val="20"/>
              </w:rPr>
              <w:t>≥18mm，容重≥</w:t>
            </w:r>
            <w:r>
              <w:rPr>
                <w:rFonts w:ascii="仿宋_GB2312" w:hAnsi="仿宋_GB2312" w:cs="仿宋_GB2312" w:eastAsia="仿宋_GB2312"/>
                <w:sz w:val="20"/>
              </w:rPr>
              <w:t>4</w:t>
            </w:r>
            <w:r>
              <w:rPr>
                <w:rFonts w:ascii="仿宋_GB2312" w:hAnsi="仿宋_GB2312" w:cs="仿宋_GB2312" w:eastAsia="仿宋_GB2312"/>
                <w:sz w:val="20"/>
              </w:rPr>
              <w:t>0kg/m3</w:t>
            </w:r>
            <w:r>
              <w:rPr>
                <w:rFonts w:ascii="仿宋_GB2312" w:hAnsi="仿宋_GB2312" w:cs="仿宋_GB2312" w:eastAsia="仿宋_GB2312"/>
                <w:sz w:val="20"/>
              </w:rPr>
              <w:t>，炕板为阻燃板，炕板设计铺设面积</w:t>
            </w: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平米，施工原则上以铺满炕面为标准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③阻燃炕板须使用原包料，不含再生料，防火等级高的同时，具有抗氧化，抗疲劳性能；阻燃炕板压缩强度≥300kPa。</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水管</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水管采用</w:t>
            </w:r>
            <w:r>
              <w:rPr>
                <w:rFonts w:ascii="仿宋_GB2312" w:hAnsi="仿宋_GB2312" w:cs="仿宋_GB2312" w:eastAsia="仿宋_GB2312"/>
                <w:sz w:val="20"/>
              </w:rPr>
              <w:t>PE-RT水暖管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水暖管外径</w:t>
            </w:r>
            <w:r>
              <w:rPr>
                <w:rFonts w:ascii="仿宋_GB2312" w:hAnsi="仿宋_GB2312" w:cs="仿宋_GB2312" w:eastAsia="仿宋_GB2312"/>
                <w:sz w:val="20"/>
              </w:rPr>
              <w:t>≥10mm，壁厚≥1.5mm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③长期容热≥75℃，铺设面积≥3.</w:t>
            </w:r>
            <w:r>
              <w:rPr>
                <w:rFonts w:ascii="仿宋_GB2312" w:hAnsi="仿宋_GB2312" w:cs="仿宋_GB2312" w:eastAsia="仿宋_GB2312"/>
                <w:sz w:val="20"/>
              </w:rPr>
              <w:t>6</w:t>
            </w:r>
            <w:r>
              <w:rPr>
                <w:rFonts w:ascii="仿宋_GB2312" w:hAnsi="仿宋_GB2312" w:cs="仿宋_GB2312" w:eastAsia="仿宋_GB2312"/>
                <w:sz w:val="20"/>
              </w:rPr>
              <w:t>平米；</w:t>
            </w:r>
          </w:p>
          <w:p>
            <w:pPr>
              <w:pStyle w:val="null3"/>
              <w:jc w:val="both"/>
            </w:pPr>
            <w:r>
              <w:rPr>
                <w:rFonts w:ascii="仿宋_GB2312" w:hAnsi="仿宋_GB2312" w:cs="仿宋_GB2312" w:eastAsia="仿宋_GB2312"/>
                <w:sz w:val="20"/>
              </w:rPr>
              <w:t>④</w:t>
            </w:r>
            <w:r>
              <w:rPr>
                <w:rFonts w:ascii="仿宋_GB2312" w:hAnsi="仿宋_GB2312" w:cs="仿宋_GB2312" w:eastAsia="仿宋_GB2312"/>
                <w:sz w:val="20"/>
              </w:rPr>
              <w:t>折叠</w:t>
            </w:r>
            <w:r>
              <w:rPr>
                <w:rFonts w:ascii="仿宋_GB2312" w:hAnsi="仿宋_GB2312" w:cs="仿宋_GB2312" w:eastAsia="仿宋_GB2312"/>
                <w:sz w:val="20"/>
              </w:rPr>
              <w:t>实验</w:t>
            </w:r>
            <w:r>
              <w:rPr>
                <w:rFonts w:ascii="仿宋_GB2312" w:hAnsi="仿宋_GB2312" w:cs="仿宋_GB2312" w:eastAsia="仿宋_GB2312"/>
                <w:sz w:val="20"/>
              </w:rPr>
              <w:t>≥15000次。</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安装及售后</w:t>
            </w:r>
          </w:p>
          <w:p>
            <w:pPr>
              <w:pStyle w:val="null3"/>
            </w:pPr>
            <w:r>
              <w:rPr>
                <w:rFonts w:ascii="仿宋_GB2312" w:hAnsi="仿宋_GB2312" w:cs="仿宋_GB2312" w:eastAsia="仿宋_GB2312"/>
                <w:sz w:val="20"/>
              </w:rPr>
              <w:t>铺设安装（包括其它辅材）、讲解及售后。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第一阶段实施完成并验收合格，根据实际发生的数量据实结算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第二阶段实施完成并验收合格，根据实际发生数量一次性支付剩余款项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符合国家相关质量标准并满足采购人的采购要求。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提供谈判时间前6个月内任意时段的缴纳证明。依法不需要交纳社会保障资金的供应商应提供相关文件证明。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法定代表人直接参加谈判的，须提供法定代表人身份证明及其身份证电子件或扫描件；法定代表人授权他人参加谈判的，须提供法定代表人授权委托书（附法定代表人、被授权人身份证电子件或扫描件）。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供应商参与谈判的承诺函</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符合竞争性谈判文件要求。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（4）第一次谈判报价：第一次谈判报价不超过最高限价</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（1）对谈判文件响应程度：要求全面响应，不能有任何采购人不能接受的附加条件 （2）供货期：应满足谈判文件的要求 （3）供货地点：应满足谈判文件的要求（4）质保期：符合竞争性谈判文件要求（5）谈判有效期：应满足谈判文件中的要求（6）要求实质性条款全部响应，竞争性谈判文件中标★项为实质性条款。（竞争性谈判文件未设置实质性条款时请忽略此项）（7）完全理解并接受竞争性谈判文件合同条款要求的描述</w:t>
            </w:r>
          </w:p>
        </w:tc>
        <w:tc>
          <w:tcPr>
            <w:tcW w:type="dxa" w:w="1661"/>
          </w:tcPr>
          <w:p>
            <w:pPr>
              <w:pStyle w:val="null3"/>
            </w:pPr>
            <w:r>
              <w:rPr>
                <w:rFonts w:ascii="仿宋_GB2312" w:hAnsi="仿宋_GB2312" w:cs="仿宋_GB2312" w:eastAsia="仿宋_GB2312"/>
              </w:rPr>
              <w:t>响应文件封面 第二部分符合性证明文件.docx 标的清单 第一部分资格证明文件.docx 报价表 第三部分谈判方案.docx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