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A88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1" w:name="_GoBack"/>
      <w:r>
        <w:rPr>
          <w:rFonts w:hint="eastAsia" w:ascii="仿宋" w:hAnsi="仿宋" w:eastAsia="仿宋" w:cs="仿宋"/>
          <w:highlight w:val="none"/>
          <w:lang w:val="en-US" w:eastAsia="zh-CN"/>
        </w:rPr>
        <w:t>业绩的有关证明材料</w:t>
      </w:r>
    </w:p>
    <w:bookmarkEnd w:id="1"/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39474B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0D75CC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7B2956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464B0A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1227F8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7288EC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</w:t>
            </w:r>
          </w:p>
          <w:p w14:paraId="30ADA5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签订时间</w:t>
            </w:r>
          </w:p>
        </w:tc>
      </w:tr>
      <w:tr w14:paraId="7E843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A8E13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A1977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DCF4D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40C30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58C2D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2C2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1C3A7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70778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F40E9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D8655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4B6CE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C1000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227BB0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ABE39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5CDF9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627ED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2EE88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F8992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BAC61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7335A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7D05B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DA893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15F5F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CA3C2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E4601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2BFF5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F3262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3DF44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3F4A6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AB23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6B0F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18931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E81F5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15244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A4672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4511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52D969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5B796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B1381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2DED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808C2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0EC38862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说明：</w:t>
      </w:r>
    </w:p>
    <w:p w14:paraId="3234DE7A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1、本表后附合同复印件加盖公章，签订时间及金额以合同中的内容为准。</w:t>
      </w:r>
    </w:p>
    <w:p w14:paraId="3BBDF34F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2、供应商应如实列出以上情况，如有隐瞒，一经查实将导致其响应文件被拒绝。</w:t>
      </w:r>
    </w:p>
    <w:p w14:paraId="562B272D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0"/>
          <w:szCs w:val="20"/>
          <w:highlight w:val="none"/>
          <w:lang w:val="en-US" w:eastAsia="zh-CN"/>
        </w:rPr>
      </w:pPr>
      <w:bookmarkStart w:id="0" w:name="_Toc12472"/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3、未按上述要求提供、填写的，评审时不予以考虑。</w:t>
      </w:r>
      <w:bookmarkEnd w:id="0"/>
    </w:p>
    <w:p w14:paraId="118C939D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6D7A5781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272EEC44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2E2BD675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p w14:paraId="3CC7EB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7738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2025-12-08T04:33:49Z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