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版本号：0617-2522FZ1593.1B120251224001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掌上医疗移动查房项目(二次)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0617-2522FZ1593.1B1</w:t>
      </w:r>
      <w:r>
        <w:br/>
      </w:r>
      <w:r>
        <w:br/>
      </w:r>
      <w:r>
        <w:br/>
      </w:r>
    </w:p>
    <w:p>
      <w:pPr>
        <w:pStyle w:val="null3"/>
        <w:jc w:val="center"/>
        <w:outlineLvl w:val="2"/>
      </w:pPr>
      <w:r>
        <w:rPr>
          <w:rFonts w:ascii="仿宋_GB2312" w:hAnsi="仿宋_GB2312" w:cs="仿宋_GB2312" w:eastAsia="仿宋_GB2312"/>
          <w:sz w:val="28"/>
          <w:b/>
        </w:rPr>
        <w:t>西安市中医医院</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西安市中医医院</w:t>
      </w:r>
      <w:r>
        <w:rPr>
          <w:rFonts w:ascii="仿宋_GB2312" w:hAnsi="仿宋_GB2312" w:cs="仿宋_GB2312" w:eastAsia="仿宋_GB2312"/>
        </w:rPr>
        <w:t>委托，拟对</w:t>
      </w:r>
      <w:r>
        <w:rPr>
          <w:rFonts w:ascii="仿宋_GB2312" w:hAnsi="仿宋_GB2312" w:cs="仿宋_GB2312" w:eastAsia="仿宋_GB2312"/>
        </w:rPr>
        <w:t>掌上医疗移动查房项目(二次)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0617-2522FZ1593.1B1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掌上医疗移动查房项目(二次)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次拟采购掌上医疗移动查房系统1套，通过建设掌上医疗移动查房系统项目，可以实现移动查房的应用场景，医护人员在移动设备上查看自己权限范围内的患者信息，包括患者历次的门诊、住院病历数据，住院数据中包含了患者的基本信息、既往病史摘要、费用情况、病程记录、医嘱执行的情况、检验报告、检查报告、护理记录、病案首页、手术情况等数据详情。基于互联网的掌上医疗移动查房系统可以方便医生在任何时间、任何地点办公。可以实现随时随地查看患者各类信息，同时手机携带方便，不需要投入资金购买移动设备。对我院来说，建设基于手机端的掌上医疗移动查房系统更具有实用性。配合部署符合国家三级等保的内外网隔离，保证访问链路安全；在终端防护通过水印等机制尽可能杜绝用户主动泄密。能够极大地方便临床工作，降低潜在的医疗风险。</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采购包1（掌上医疗移动查房）：属于专门面向中小企业采购。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其他要求：（1）信用信息：供应商不得为“信用中国”网站（www.creditchina.gov.cn）列入失信被执行人、重大税收违法失信主体供应商，不得为“中国政府采购网”（www.ccgp.gov.cn）政府采购严重违法失信行为记录名单中的供应商。 （2）法定代表人（单位负责人）直接参加投标的，须出具法定代表人（单位负责人）证明书；法定代表人（单位负责人）授权代表参加投标的，还须出具法定代表人（单位负责人）授权书，同时提供磋商时间前连续三个月（不含磋商时间当月）供应商代表在本单位缴纳的社保记录。 （3）供应商非招标人单位职工及家属投资开办，其法人、股东和经营管理人员非招标人单位职工及家属。 （4）承诺书（投标单位与其他投标单位无交叉控股股东、无交叉兼任高级管理人员及涉嫌联合围标、串标行为，无采购单位和招标代理机构职工在本单位兼职的情况，不向采购单位和代理机构相关人员输送利益等行贿行为，一旦中标必须坚守诚信、认真履约等）。</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西安市中医医院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西安市未央区凤城八路69号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西安市中医医院经办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029-89626819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张龙、张勃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029-89651836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采购包1：910,000.00元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采购代理服务费参照国家计委关于印发《招标代理服务收费管理暂行办法》的通知（计价格〔2002〕1980号）、《国家发展和改革委员会办公厅关于招标代理服务收费有关问题的通知》（发改办价格〔2003〕857号）规定标准下浮10%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西安市中医医院</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西安市中医医院</w:t>
      </w:r>
      <w:r>
        <w:rPr>
          <w:rFonts w:ascii="仿宋_GB2312" w:hAnsi="仿宋_GB2312" w:cs="仿宋_GB2312" w:eastAsia="仿宋_GB2312"/>
        </w:rPr>
        <w:t>负责解释。除上述磋商文件内容，其他内容由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西安市中医医院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西北(陕西)国际招标有限公司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联系人：西北（陕西）国际招标有限公司综合监督处</w:t>
      </w:r>
    </w:p>
    <w:p>
      <w:pPr>
        <w:pStyle w:val="null3"/>
      </w:pPr>
      <w:r>
        <w:rPr>
          <w:rFonts w:ascii="仿宋_GB2312" w:hAnsi="仿宋_GB2312" w:cs="仿宋_GB2312" w:eastAsia="仿宋_GB2312"/>
        </w:rPr>
        <w:t>联系电话：029-85362812</w:t>
      </w:r>
    </w:p>
    <w:p>
      <w:pPr>
        <w:pStyle w:val="null3"/>
      </w:pPr>
      <w:r>
        <w:rPr>
          <w:rFonts w:ascii="仿宋_GB2312" w:hAnsi="仿宋_GB2312" w:cs="仿宋_GB2312" w:eastAsia="仿宋_GB2312"/>
        </w:rPr>
        <w:t>地址：陕西省西安市南二环西段58号成长大厦12楼1203室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21"/>
        </w:rPr>
        <w:t>本次拟采购掌上医疗移动查房系统</w:t>
      </w:r>
      <w:r>
        <w:rPr>
          <w:rFonts w:ascii="仿宋_GB2312" w:hAnsi="仿宋_GB2312" w:cs="仿宋_GB2312" w:eastAsia="仿宋_GB2312"/>
          <w:sz w:val="21"/>
        </w:rPr>
        <w:t>1套，本项目只涉及系统的建设，通过建设掌上医疗移动查房系统项目，可以实现移动查房的应用场景，医护人员在移动设备上查看自己权限范围内的患者信息，包括患者历次的门诊、住院病历数据，住院数据中包含了患者的基本信息、既往病史摘要、费用情况、病程记录、医嘱执行的情况、检验报告、检查报告、护理记录、病案首页、手术情况等数据详情。基于互联网的掌上医疗移动查房系统可以方便医生在任何时间、任何地点办公。可以实现随时随地查看患者各类信息，同时手机携带方便，不需要投入资金购买移动设备。对我院来说，建设基于手机端的掌上医疗移动查房系统更具有实用性。</w:t>
      </w:r>
      <w:r>
        <w:rPr>
          <w:rFonts w:ascii="仿宋_GB2312" w:hAnsi="仿宋_GB2312" w:cs="仿宋_GB2312" w:eastAsia="仿宋_GB2312"/>
          <w:sz w:val="21"/>
        </w:rPr>
        <w:t>配合</w:t>
      </w:r>
      <w:r>
        <w:rPr>
          <w:rFonts w:ascii="仿宋_GB2312" w:hAnsi="仿宋_GB2312" w:cs="仿宋_GB2312" w:eastAsia="仿宋_GB2312"/>
          <w:sz w:val="21"/>
        </w:rPr>
        <w:t>部署符合国家三级等保的内外网隔离，保证访问链路安全；在终端防护通过水印等机制尽可能杜绝用户主动泄密。能够极大地方便临床工作，降低潜在的医疗风险。</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910,000.00</w:t>
      </w:r>
    </w:p>
    <w:p>
      <w:pPr>
        <w:pStyle w:val="null3"/>
      </w:pPr>
      <w:r>
        <w:rPr>
          <w:rFonts w:ascii="仿宋_GB2312" w:hAnsi="仿宋_GB2312" w:cs="仿宋_GB2312" w:eastAsia="仿宋_GB2312"/>
        </w:rPr>
        <w:t>采购包最高限价（元）: 910,000.00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掌上医疗移动查房系统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910,000.00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标的名称：掌上医疗移动查房系统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3.2.2.1总体要求：</w:t>
            </w:r>
          </w:p>
          <w:p>
            <w:pPr>
              <w:pStyle w:val="null3"/>
              <w:ind w:firstLine="400"/>
              <w:jc w:val="both"/>
            </w:pPr>
            <w:r>
              <w:rPr>
                <w:rFonts w:ascii="仿宋_GB2312" w:hAnsi="仿宋_GB2312" w:cs="仿宋_GB2312" w:eastAsia="仿宋_GB2312"/>
              </w:rPr>
              <w:t>1、具有安全机制完成用户的认证、授权和数据保密，提供服务访问权限控制。</w:t>
            </w:r>
          </w:p>
          <w:p>
            <w:pPr>
              <w:pStyle w:val="null3"/>
              <w:ind w:firstLine="400"/>
              <w:jc w:val="both"/>
            </w:pPr>
            <w:r>
              <w:rPr>
                <w:rFonts w:ascii="仿宋_GB2312" w:hAnsi="仿宋_GB2312" w:cs="仿宋_GB2312" w:eastAsia="仿宋_GB2312"/>
              </w:rPr>
              <w:t>2、提供不同级别，不同故障情况下的应用系统的技术实现方案，避免因故障导致的医疗工作的延迟和医疗差错。</w:t>
            </w:r>
          </w:p>
          <w:p>
            <w:pPr>
              <w:pStyle w:val="null3"/>
              <w:ind w:firstLine="400"/>
              <w:jc w:val="both"/>
            </w:pPr>
            <w:r>
              <w:rPr>
                <w:rFonts w:ascii="仿宋_GB2312" w:hAnsi="仿宋_GB2312" w:cs="仿宋_GB2312" w:eastAsia="仿宋_GB2312"/>
              </w:rPr>
              <w:t>3、软件产品成熟稳定，具有自主知识产权，功能模块齐全，符合应用规范，满足业务需求。</w:t>
            </w:r>
          </w:p>
          <w:p>
            <w:pPr>
              <w:pStyle w:val="null3"/>
              <w:ind w:firstLine="400"/>
              <w:jc w:val="both"/>
            </w:pPr>
            <w:r>
              <w:rPr>
                <w:rFonts w:ascii="仿宋_GB2312" w:hAnsi="仿宋_GB2312" w:cs="仿宋_GB2312" w:eastAsia="仿宋_GB2312"/>
              </w:rPr>
              <w:t>4、终端用户操作性能指标：系统要体现易于理解掌握、操作简单、提示清晰、逻辑性强、直观简洁等特点。并针对医院查看项目的特点对查看顺序专门定制，保证操作人员以最快速度和最少的击键次数完成工作。</w:t>
            </w:r>
          </w:p>
          <w:p>
            <w:pPr>
              <w:pStyle w:val="null3"/>
              <w:ind w:firstLine="400"/>
              <w:jc w:val="both"/>
            </w:pPr>
            <w:r>
              <w:rPr>
                <w:rFonts w:ascii="仿宋_GB2312" w:hAnsi="仿宋_GB2312" w:cs="仿宋_GB2312" w:eastAsia="仿宋_GB2312"/>
              </w:rPr>
              <w:t>5、</w:t>
            </w:r>
            <w:r>
              <w:rPr>
                <w:rFonts w:ascii="仿宋_GB2312" w:hAnsi="仿宋_GB2312" w:cs="仿宋_GB2312" w:eastAsia="仿宋_GB2312"/>
              </w:rPr>
              <w:t>支持至少</w:t>
            </w:r>
            <w:r>
              <w:rPr>
                <w:rFonts w:ascii="仿宋_GB2312" w:hAnsi="仿宋_GB2312" w:cs="仿宋_GB2312" w:eastAsia="仿宋_GB2312"/>
              </w:rPr>
              <w:t>2000</w:t>
            </w:r>
            <w:r>
              <w:rPr>
                <w:rFonts w:ascii="仿宋_GB2312" w:hAnsi="仿宋_GB2312" w:cs="仿宋_GB2312" w:eastAsia="仿宋_GB2312"/>
              </w:rPr>
              <w:t>人同时</w:t>
            </w:r>
            <w:r>
              <w:rPr>
                <w:rFonts w:ascii="仿宋_GB2312" w:hAnsi="仿宋_GB2312" w:cs="仿宋_GB2312" w:eastAsia="仿宋_GB2312"/>
              </w:rPr>
              <w:t>在线</w:t>
            </w:r>
            <w:r>
              <w:rPr>
                <w:rFonts w:ascii="仿宋_GB2312" w:hAnsi="仿宋_GB2312" w:cs="仿宋_GB2312" w:eastAsia="仿宋_GB2312"/>
              </w:rPr>
              <w:t>，</w:t>
            </w:r>
            <w:r>
              <w:rPr>
                <w:rFonts w:ascii="仿宋_GB2312" w:hAnsi="仿宋_GB2312" w:cs="仿宋_GB2312" w:eastAsia="仿宋_GB2312"/>
              </w:rPr>
              <w:t>不限制用户使用数量，</w:t>
            </w:r>
            <w:r>
              <w:rPr>
                <w:rFonts w:ascii="仿宋_GB2312" w:hAnsi="仿宋_GB2312" w:cs="仿宋_GB2312" w:eastAsia="仿宋_GB2312"/>
              </w:rPr>
              <w:t>除</w:t>
            </w:r>
            <w:r>
              <w:rPr>
                <w:rFonts w:ascii="仿宋_GB2312" w:hAnsi="仿宋_GB2312" w:cs="仿宋_GB2312" w:eastAsia="仿宋_GB2312"/>
              </w:rPr>
              <w:t>影像</w:t>
            </w:r>
            <w:r>
              <w:rPr>
                <w:rFonts w:ascii="仿宋_GB2312" w:hAnsi="仿宋_GB2312" w:cs="仿宋_GB2312" w:eastAsia="仿宋_GB2312"/>
              </w:rPr>
              <w:t>等</w:t>
            </w:r>
            <w:r>
              <w:rPr>
                <w:rFonts w:ascii="仿宋_GB2312" w:hAnsi="仿宋_GB2312" w:cs="仿宋_GB2312" w:eastAsia="仿宋_GB2312"/>
              </w:rPr>
              <w:t>特殊页面的响应时间小于</w:t>
            </w:r>
            <w:r>
              <w:rPr>
                <w:rFonts w:ascii="仿宋_GB2312" w:hAnsi="仿宋_GB2312" w:cs="仿宋_GB2312" w:eastAsia="仿宋_GB2312"/>
              </w:rPr>
              <w:t>2秒，影像等特殊页面响应时间小于5秒。</w:t>
            </w:r>
          </w:p>
          <w:p>
            <w:pPr>
              <w:pStyle w:val="null3"/>
              <w:ind w:firstLine="400"/>
              <w:jc w:val="both"/>
            </w:pPr>
            <w:r>
              <w:rPr>
                <w:rFonts w:ascii="仿宋_GB2312" w:hAnsi="仿宋_GB2312" w:cs="仿宋_GB2312" w:eastAsia="仿宋_GB2312"/>
              </w:rPr>
              <w:t>6、刷新功能：支持页面刷新，用于查看患者最新信息。</w:t>
            </w:r>
          </w:p>
          <w:p>
            <w:pPr>
              <w:pStyle w:val="null3"/>
              <w:ind w:firstLine="400"/>
              <w:jc w:val="both"/>
            </w:pPr>
            <w:r>
              <w:rPr>
                <w:rFonts w:ascii="仿宋_GB2312" w:hAnsi="仿宋_GB2312" w:cs="仿宋_GB2312" w:eastAsia="仿宋_GB2312"/>
              </w:rPr>
              <w:t>7、放大功能：</w:t>
            </w:r>
            <w:r>
              <w:rPr>
                <w:rFonts w:ascii="仿宋_GB2312" w:hAnsi="仿宋_GB2312" w:cs="仿宋_GB2312" w:eastAsia="仿宋_GB2312"/>
              </w:rPr>
              <w:t>为方便医务人员查看密集型数据，针对报告页面可进行一定比例的放大操作。</w:t>
            </w:r>
          </w:p>
          <w:p>
            <w:pPr>
              <w:pStyle w:val="null3"/>
              <w:ind w:firstLine="400"/>
              <w:jc w:val="both"/>
            </w:pPr>
            <w:r>
              <w:rPr>
                <w:rFonts w:ascii="仿宋_GB2312" w:hAnsi="仿宋_GB2312" w:cs="仿宋_GB2312" w:eastAsia="仿宋_GB2312"/>
              </w:rPr>
              <w:t>8</w:t>
            </w:r>
            <w:r>
              <w:rPr>
                <w:rFonts w:ascii="仿宋_GB2312" w:hAnsi="仿宋_GB2312" w:cs="仿宋_GB2312" w:eastAsia="仿宋_GB2312"/>
              </w:rPr>
              <w:t>、支持切换</w:t>
            </w:r>
            <w:r>
              <w:rPr>
                <w:rFonts w:ascii="仿宋_GB2312" w:hAnsi="仿宋_GB2312" w:cs="仿宋_GB2312" w:eastAsia="仿宋_GB2312"/>
              </w:rPr>
              <w:t>关怀模式</w:t>
            </w:r>
            <w:r>
              <w:rPr>
                <w:rFonts w:ascii="仿宋_GB2312" w:hAnsi="仿宋_GB2312" w:cs="仿宋_GB2312" w:eastAsia="仿宋_GB2312"/>
              </w:rPr>
              <w:t>，</w:t>
            </w:r>
            <w:r>
              <w:rPr>
                <w:rFonts w:ascii="仿宋_GB2312" w:hAnsi="仿宋_GB2312" w:cs="仿宋_GB2312" w:eastAsia="仿宋_GB2312"/>
              </w:rPr>
              <w:t>满足</w:t>
            </w:r>
            <w:r>
              <w:rPr>
                <w:rFonts w:ascii="仿宋_GB2312" w:hAnsi="仿宋_GB2312" w:cs="仿宋_GB2312" w:eastAsia="仿宋_GB2312"/>
              </w:rPr>
              <w:t>大龄</w:t>
            </w:r>
            <w:r>
              <w:rPr>
                <w:rFonts w:ascii="仿宋_GB2312" w:hAnsi="仿宋_GB2312" w:cs="仿宋_GB2312" w:eastAsia="仿宋_GB2312"/>
              </w:rPr>
              <w:t>医务工作者的需求</w:t>
            </w:r>
            <w:r>
              <w:rPr>
                <w:rFonts w:ascii="仿宋_GB2312" w:hAnsi="仿宋_GB2312" w:cs="仿宋_GB2312" w:eastAsia="仿宋_GB2312"/>
              </w:rPr>
              <w:t>。</w:t>
            </w:r>
          </w:p>
          <w:p>
            <w:pPr>
              <w:pStyle w:val="null3"/>
              <w:jc w:val="both"/>
            </w:pPr>
            <w:r>
              <w:rPr>
                <w:rFonts w:ascii="仿宋_GB2312" w:hAnsi="仿宋_GB2312" w:cs="仿宋_GB2312" w:eastAsia="仿宋_GB2312"/>
                <w:b/>
              </w:rPr>
              <w:t>3.2.2.2系统详细功能参数：</w:t>
            </w:r>
          </w:p>
          <w:tbl>
            <w:tblPr>
              <w:tblInd w:type="dxa" w:w="255"/>
              <w:tblBorders>
                <w:top w:val="none" w:color="000000" w:sz="4"/>
                <w:left w:val="none" w:color="000000" w:sz="4"/>
                <w:bottom w:val="none" w:color="000000" w:sz="4"/>
                <w:right w:val="none" w:color="000000" w:sz="4"/>
                <w:insideH w:val="none"/>
                <w:insideV w:val="none"/>
              </w:tblBorders>
            </w:tblPr>
            <w:tblGrid>
              <w:gridCol w:w="378"/>
              <w:gridCol w:w="345"/>
              <w:gridCol w:w="1830"/>
            </w:tblGrid>
            <w:tr>
              <w:tc>
                <w:tcPr>
                  <w:tcW w:type="dxa" w:w="3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模块</w:t>
                  </w:r>
                </w:p>
              </w:tc>
              <w:tc>
                <w:tcPr>
                  <w:tcW w:type="dxa" w:w="3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功能</w:t>
                  </w:r>
                </w:p>
              </w:tc>
              <w:tc>
                <w:tcPr>
                  <w:tcW w:type="dxa" w:w="18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要求</w:t>
                  </w:r>
                </w:p>
              </w:tc>
            </w:tr>
            <w:tr>
              <w:tc>
                <w:tcPr>
                  <w:tcW w:type="dxa" w:w="3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1、基础平台</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1.1移动端</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实现在移动端查看患者各类信息，包括在</w:t>
                  </w:r>
                  <w:r>
                    <w:rPr>
                      <w:rFonts w:ascii="仿宋_GB2312" w:hAnsi="仿宋_GB2312" w:cs="仿宋_GB2312" w:eastAsia="仿宋_GB2312"/>
                      <w:sz w:val="19"/>
                      <w:color w:val="000000"/>
                    </w:rPr>
                    <w:t>Android平台、IOS平台、鸿蒙平台</w:t>
                  </w:r>
                  <w:r>
                    <w:rPr>
                      <w:rFonts w:ascii="仿宋_GB2312" w:hAnsi="仿宋_GB2312" w:cs="仿宋_GB2312" w:eastAsia="仿宋_GB2312"/>
                      <w:sz w:val="19"/>
                      <w:color w:val="000000"/>
                    </w:rPr>
                    <w:t>6.0及以上</w:t>
                  </w:r>
                  <w:r>
                    <w:rPr>
                      <w:rFonts w:ascii="仿宋_GB2312" w:hAnsi="仿宋_GB2312" w:cs="仿宋_GB2312" w:eastAsia="仿宋_GB2312"/>
                      <w:sz w:val="19"/>
                      <w:color w:val="000000"/>
                    </w:rPr>
                    <w:t>等移动设备终端上运行。</w:t>
                  </w:r>
                </w:p>
              </w:tc>
            </w:tr>
            <w:tr>
              <w:tc>
                <w:tcPr>
                  <w:tcW w:type="dxa" w:w="378"/>
                  <w:vMerge/>
                  <w:tcBorders>
                    <w:top w:val="none" w:color="000000" w:sz="4"/>
                    <w:left w:val="single" w:color="000000" w:sz="4"/>
                    <w:bottom w:val="single" w:color="000000" w:sz="4"/>
                    <w:right w:val="single" w:color="000000" w:sz="4"/>
                  </w:tcBorders>
                </w:tcPr>
                <w:p/>
              </w:tc>
              <w:tc>
                <w:tcPr>
                  <w:tcW w:type="dxa" w:w="34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1.2后台管理</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实现后台管理对用户进行管理，包括鉴权和权限管理。</w:t>
                  </w:r>
                </w:p>
              </w:tc>
            </w:tr>
            <w:tr>
              <w:tc>
                <w:tcPr>
                  <w:tcW w:type="dxa" w:w="378"/>
                  <w:vMerge/>
                  <w:tcBorders>
                    <w:top w:val="none" w:color="000000" w:sz="4"/>
                    <w:left w:val="single" w:color="000000" w:sz="4"/>
                    <w:bottom w:val="single" w:color="000000" w:sz="4"/>
                    <w:right w:val="single" w:color="000000" w:sz="4"/>
                  </w:tcBorders>
                </w:tcPr>
                <w:p/>
              </w:tc>
              <w:tc>
                <w:tcPr>
                  <w:tcW w:type="dxa" w:w="345"/>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实现对医生权限进行增加、修改、删除等操作。</w:t>
                  </w:r>
                </w:p>
              </w:tc>
            </w:tr>
            <w:tr>
              <w:tc>
                <w:tcPr>
                  <w:tcW w:type="dxa" w:w="378"/>
                  <w:vMerge/>
                  <w:tcBorders>
                    <w:top w:val="none" w:color="000000" w:sz="4"/>
                    <w:left w:val="single" w:color="000000" w:sz="4"/>
                    <w:bottom w:val="single" w:color="000000" w:sz="4"/>
                    <w:right w:val="single" w:color="000000" w:sz="4"/>
                  </w:tcBorders>
                </w:tcPr>
                <w:p/>
              </w:tc>
              <w:tc>
                <w:tcPr>
                  <w:tcW w:type="dxa" w:w="345"/>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实现对医务人员数据的维护功能，如同一个用户分配多个院区</w:t>
                  </w:r>
                  <w:r>
                    <w:rPr>
                      <w:rFonts w:ascii="仿宋_GB2312" w:hAnsi="仿宋_GB2312" w:cs="仿宋_GB2312" w:eastAsia="仿宋_GB2312"/>
                      <w:sz w:val="19"/>
                      <w:color w:val="000000"/>
                    </w:rPr>
                    <w:t>/科室，使其登录系统时随着不同的登录院区/科室而查看权限下的患者各类信息。</w:t>
                  </w:r>
                </w:p>
              </w:tc>
            </w:tr>
            <w:tr>
              <w:tc>
                <w:tcPr>
                  <w:tcW w:type="dxa" w:w="378"/>
                  <w:vMerge/>
                  <w:tcBorders>
                    <w:top w:val="none" w:color="000000" w:sz="4"/>
                    <w:left w:val="single" w:color="000000" w:sz="4"/>
                    <w:bottom w:val="single" w:color="000000" w:sz="4"/>
                    <w:right w:val="single" w:color="000000" w:sz="4"/>
                  </w:tcBorders>
                </w:tcP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1.3移动设备管理</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对用户使用的移动设备进行管理，管理内容包括增加、删除、修改等操作。</w:t>
                  </w:r>
                </w:p>
              </w:tc>
            </w:tr>
            <w:tr>
              <w:tc>
                <w:tcPr>
                  <w:tcW w:type="dxa" w:w="378"/>
                  <w:vMerge/>
                  <w:tcBorders>
                    <w:top w:val="none" w:color="000000" w:sz="4"/>
                    <w:left w:val="single" w:color="000000" w:sz="4"/>
                    <w:bottom w:val="single" w:color="000000" w:sz="4"/>
                    <w:right w:val="single" w:color="000000" w:sz="4"/>
                  </w:tcBorders>
                </w:tcP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1.4访问管理</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▲对用户访问行为进行日志留痕。</w:t>
                  </w:r>
                </w:p>
              </w:tc>
            </w:tr>
            <w:tr>
              <w:tc>
                <w:tcPr>
                  <w:tcW w:type="dxa" w:w="3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2、安全防护</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2.1页面水印</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▲在所有涉及患者信息的页面，背景水印显示当前登录用户信息。</w:t>
                  </w:r>
                </w:p>
              </w:tc>
            </w:tr>
            <w:tr>
              <w:tc>
                <w:tcPr>
                  <w:tcW w:type="dxa" w:w="378"/>
                  <w:vMerge/>
                  <w:tcBorders>
                    <w:top w:val="none" w:color="000000" w:sz="4"/>
                    <w:left w:val="single" w:color="000000" w:sz="4"/>
                    <w:bottom w:val="single" w:color="000000" w:sz="4"/>
                    <w:right w:val="single" w:color="000000" w:sz="4"/>
                  </w:tcBorders>
                </w:tcPr>
                <w:p/>
              </w:tc>
              <w:tc>
                <w:tcPr>
                  <w:tcW w:type="dxa" w:w="34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2.2登录安全</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通过用户名、移动设备进行绑定，同时对用户登录时进行密码验证。</w:t>
                  </w:r>
                </w:p>
              </w:tc>
            </w:tr>
            <w:tr>
              <w:tc>
                <w:tcPr>
                  <w:tcW w:type="dxa" w:w="378"/>
                  <w:vMerge/>
                  <w:tcBorders>
                    <w:top w:val="none" w:color="000000" w:sz="4"/>
                    <w:left w:val="single" w:color="000000" w:sz="4"/>
                    <w:bottom w:val="single" w:color="000000" w:sz="4"/>
                    <w:right w:val="single" w:color="000000" w:sz="4"/>
                  </w:tcBorders>
                </w:tcPr>
                <w:p/>
              </w:tc>
              <w:tc>
                <w:tcPr>
                  <w:tcW w:type="dxa" w:w="345"/>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手机用户在首次登录时，输入用户名（医生工号）和手机号码，通过发送短息验证码进行验证，强制修改密码，并对密码复杂度进行验证，如要求字母</w:t>
                  </w:r>
                  <w:r>
                    <w:rPr>
                      <w:rFonts w:ascii="仿宋_GB2312" w:hAnsi="仿宋_GB2312" w:cs="仿宋_GB2312" w:eastAsia="仿宋_GB2312"/>
                      <w:sz w:val="19"/>
                      <w:color w:val="000000"/>
                    </w:rPr>
                    <w:t>+数字+特殊符号等。提醒90天至少更新密码一次。</w:t>
                  </w:r>
                </w:p>
              </w:tc>
            </w:tr>
            <w:tr>
              <w:tc>
                <w:tcPr>
                  <w:tcW w:type="dxa" w:w="378"/>
                  <w:vMerge/>
                  <w:tcBorders>
                    <w:top w:val="none" w:color="000000" w:sz="4"/>
                    <w:left w:val="single" w:color="000000" w:sz="4"/>
                    <w:bottom w:val="single" w:color="000000" w:sz="4"/>
                    <w:right w:val="single" w:color="000000" w:sz="4"/>
                  </w:tcBorders>
                </w:tcPr>
                <w:p/>
              </w:tc>
              <w:tc>
                <w:tcPr>
                  <w:tcW w:type="dxa" w:w="34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2.3设备绑定</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通过设备号绑定移动设备，后台授权确认。</w:t>
                  </w:r>
                </w:p>
              </w:tc>
            </w:tr>
            <w:tr>
              <w:tc>
                <w:tcPr>
                  <w:tcW w:type="dxa" w:w="378"/>
                  <w:vMerge/>
                  <w:tcBorders>
                    <w:top w:val="none" w:color="000000" w:sz="4"/>
                    <w:left w:val="single" w:color="000000" w:sz="4"/>
                    <w:bottom w:val="single" w:color="000000" w:sz="4"/>
                    <w:right w:val="single" w:color="000000" w:sz="4"/>
                  </w:tcBorders>
                </w:tcPr>
                <w:p/>
              </w:tc>
              <w:tc>
                <w:tcPr>
                  <w:tcW w:type="dxa" w:w="345"/>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用户用不同的移动设备登录时，需要通过后台管理员授权，修改设备用户绑定关系。</w:t>
                  </w:r>
                </w:p>
              </w:tc>
            </w:tr>
            <w:tr>
              <w:tc>
                <w:tcPr>
                  <w:tcW w:type="dxa" w:w="3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3、手机端查看功能</w:t>
                  </w:r>
                </w:p>
              </w:tc>
              <w:tc>
                <w:tcPr>
                  <w:tcW w:type="dxa" w:w="34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3.1注册</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实现用户通过用户名（医生工号）、手机号码、密码三者信息合并注册医生端</w:t>
                  </w:r>
                  <w:r>
                    <w:rPr>
                      <w:rFonts w:ascii="仿宋_GB2312" w:hAnsi="仿宋_GB2312" w:cs="仿宋_GB2312" w:eastAsia="仿宋_GB2312"/>
                      <w:sz w:val="19"/>
                      <w:color w:val="000000"/>
                    </w:rPr>
                    <w:t>APP。</w:t>
                  </w:r>
                </w:p>
              </w:tc>
            </w:tr>
            <w:tr>
              <w:tc>
                <w:tcPr>
                  <w:tcW w:type="dxa" w:w="378"/>
                  <w:vMerge/>
                  <w:tcBorders>
                    <w:top w:val="none" w:color="000000" w:sz="4"/>
                    <w:left w:val="single" w:color="000000" w:sz="4"/>
                    <w:bottom w:val="single" w:color="000000" w:sz="4"/>
                    <w:right w:val="single" w:color="000000" w:sz="4"/>
                  </w:tcBorders>
                </w:tcPr>
                <w:p/>
              </w:tc>
              <w:tc>
                <w:tcPr>
                  <w:tcW w:type="dxa" w:w="345"/>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实现通过后台</w:t>
                  </w:r>
                  <w:r>
                    <w:rPr>
                      <w:rFonts w:ascii="仿宋_GB2312" w:hAnsi="仿宋_GB2312" w:cs="仿宋_GB2312" w:eastAsia="仿宋_GB2312"/>
                      <w:sz w:val="19"/>
                      <w:color w:val="000000"/>
                    </w:rPr>
                    <w:t>web端查询、配置医生端APP登录账号。</w:t>
                  </w:r>
                </w:p>
              </w:tc>
            </w:tr>
            <w:tr>
              <w:tc>
                <w:tcPr>
                  <w:tcW w:type="dxa" w:w="378"/>
                  <w:vMerge/>
                  <w:tcBorders>
                    <w:top w:val="none" w:color="000000" w:sz="4"/>
                    <w:left w:val="single" w:color="000000" w:sz="4"/>
                    <w:bottom w:val="single" w:color="000000" w:sz="4"/>
                    <w:right w:val="single" w:color="000000" w:sz="4"/>
                  </w:tcBorders>
                </w:tcP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3.2登录</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实现用户通过用户名（医生工号）</w:t>
                  </w:r>
                  <w:r>
                    <w:rPr>
                      <w:rFonts w:ascii="仿宋_GB2312" w:hAnsi="仿宋_GB2312" w:cs="仿宋_GB2312" w:eastAsia="仿宋_GB2312"/>
                      <w:sz w:val="19"/>
                      <w:color w:val="000000"/>
                    </w:rPr>
                    <w:t>+手机号码+密码的方式登录医生端APP；实现安全设置。</w:t>
                  </w:r>
                </w:p>
              </w:tc>
            </w:tr>
            <w:tr>
              <w:tc>
                <w:tcPr>
                  <w:tcW w:type="dxa" w:w="378"/>
                  <w:vMerge/>
                  <w:tcBorders>
                    <w:top w:val="none" w:color="000000" w:sz="4"/>
                    <w:left w:val="single" w:color="000000" w:sz="4"/>
                    <w:bottom w:val="single" w:color="000000" w:sz="4"/>
                    <w:right w:val="single" w:color="000000" w:sz="4"/>
                  </w:tcBorders>
                </w:tcP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3.3退出登录</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点击关闭键实现退出当前登录的账号。</w:t>
                  </w:r>
                </w:p>
              </w:tc>
            </w:tr>
            <w:tr>
              <w:tc>
                <w:tcPr>
                  <w:tcW w:type="dxa" w:w="378"/>
                  <w:vMerge/>
                  <w:tcBorders>
                    <w:top w:val="none" w:color="000000" w:sz="4"/>
                    <w:left w:val="single" w:color="000000" w:sz="4"/>
                    <w:bottom w:val="single" w:color="000000" w:sz="4"/>
                    <w:right w:val="single" w:color="000000" w:sz="4"/>
                  </w:tcBorders>
                </w:tcP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3.4搜索</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▲实现按照患者姓名或住院号等方式搜索定位患者。</w:t>
                  </w:r>
                </w:p>
              </w:tc>
            </w:tr>
            <w:tr>
              <w:tc>
                <w:tcPr>
                  <w:tcW w:type="dxa" w:w="378"/>
                  <w:vMerge/>
                  <w:tcBorders>
                    <w:top w:val="none" w:color="000000" w:sz="4"/>
                    <w:left w:val="single" w:color="000000" w:sz="4"/>
                    <w:bottom w:val="single" w:color="000000" w:sz="4"/>
                    <w:right w:val="single" w:color="000000" w:sz="4"/>
                  </w:tcBorders>
                </w:tcPr>
                <w:p/>
              </w:tc>
              <w:tc>
                <w:tcPr>
                  <w:tcW w:type="dxa" w:w="34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3.5分组</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实现查看用户名（医生工号）权限对应院区</w:t>
                  </w:r>
                  <w:r>
                    <w:rPr>
                      <w:rFonts w:ascii="仿宋_GB2312" w:hAnsi="仿宋_GB2312" w:cs="仿宋_GB2312" w:eastAsia="仿宋_GB2312"/>
                      <w:sz w:val="19"/>
                      <w:color w:val="000000"/>
                    </w:rPr>
                    <w:t>/科室的患者各类信息。</w:t>
                  </w:r>
                </w:p>
              </w:tc>
            </w:tr>
            <w:tr>
              <w:tc>
                <w:tcPr>
                  <w:tcW w:type="dxa" w:w="378"/>
                  <w:vMerge/>
                  <w:tcBorders>
                    <w:top w:val="none" w:color="000000" w:sz="4"/>
                    <w:left w:val="single" w:color="000000" w:sz="4"/>
                    <w:bottom w:val="single" w:color="000000" w:sz="4"/>
                    <w:right w:val="single" w:color="000000" w:sz="4"/>
                  </w:tcBorders>
                </w:tcPr>
                <w:p/>
              </w:tc>
              <w:tc>
                <w:tcPr>
                  <w:tcW w:type="dxa" w:w="345"/>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实现查看用户名（医生工号）所属医生的患者各类信息。</w:t>
                  </w:r>
                </w:p>
              </w:tc>
            </w:tr>
            <w:tr>
              <w:tc>
                <w:tcPr>
                  <w:tcW w:type="dxa" w:w="378"/>
                  <w:vMerge/>
                  <w:tcBorders>
                    <w:top w:val="none" w:color="000000" w:sz="4"/>
                    <w:left w:val="single" w:color="000000" w:sz="4"/>
                    <w:bottom w:val="single" w:color="000000" w:sz="4"/>
                    <w:right w:val="single" w:color="000000" w:sz="4"/>
                  </w:tcBorders>
                </w:tcPr>
                <w:p/>
              </w:tc>
              <w:tc>
                <w:tcPr>
                  <w:tcW w:type="dxa" w:w="345"/>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实现查看出院患者各类信息。</w:t>
                  </w:r>
                </w:p>
              </w:tc>
            </w:tr>
            <w:tr>
              <w:tc>
                <w:tcPr>
                  <w:tcW w:type="dxa" w:w="378"/>
                  <w:vMerge/>
                  <w:tcBorders>
                    <w:top w:val="none" w:color="000000" w:sz="4"/>
                    <w:left w:val="single" w:color="000000" w:sz="4"/>
                    <w:bottom w:val="single" w:color="000000" w:sz="4"/>
                    <w:right w:val="single" w:color="000000" w:sz="4"/>
                  </w:tcBorders>
                </w:tcPr>
                <w:p/>
              </w:tc>
              <w:tc>
                <w:tcPr>
                  <w:tcW w:type="dxa" w:w="345"/>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实现查看门诊患者各类信息。</w:t>
                  </w:r>
                </w:p>
              </w:tc>
            </w:tr>
            <w:tr>
              <w:tc>
                <w:tcPr>
                  <w:tcW w:type="dxa" w:w="378"/>
                  <w:vMerge/>
                  <w:tcBorders>
                    <w:top w:val="none" w:color="000000" w:sz="4"/>
                    <w:left w:val="single" w:color="000000" w:sz="4"/>
                    <w:bottom w:val="single" w:color="000000" w:sz="4"/>
                    <w:right w:val="single" w:color="000000" w:sz="4"/>
                  </w:tcBorders>
                </w:tcPr>
                <w:p/>
              </w:tc>
              <w:tc>
                <w:tcPr>
                  <w:tcW w:type="dxa" w:w="345"/>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实现查看收藏的患者各类信息。</w:t>
                  </w:r>
                </w:p>
              </w:tc>
            </w:tr>
            <w:tr>
              <w:tc>
                <w:tcPr>
                  <w:tcW w:type="dxa" w:w="378"/>
                  <w:vMerge/>
                  <w:tcBorders>
                    <w:top w:val="none" w:color="000000" w:sz="4"/>
                    <w:left w:val="single" w:color="000000" w:sz="4"/>
                    <w:bottom w:val="single" w:color="000000" w:sz="4"/>
                    <w:right w:val="single" w:color="000000" w:sz="4"/>
                  </w:tcBorders>
                </w:tcPr>
                <w:p/>
              </w:tc>
              <w:tc>
                <w:tcPr>
                  <w:tcW w:type="dxa" w:w="34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3.6既往病史</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实现查阅当前患者的历史门诊记录，包括患者基本信息、就诊卡号、挂号科室、挂号类型、看诊时间、看诊医生、诊断、处方等信息。</w:t>
                  </w:r>
                </w:p>
              </w:tc>
            </w:tr>
            <w:tr>
              <w:tc>
                <w:tcPr>
                  <w:tcW w:type="dxa" w:w="378"/>
                  <w:vMerge/>
                  <w:tcBorders>
                    <w:top w:val="none" w:color="000000" w:sz="4"/>
                    <w:left w:val="single" w:color="000000" w:sz="4"/>
                    <w:bottom w:val="single" w:color="000000" w:sz="4"/>
                    <w:right w:val="single" w:color="000000" w:sz="4"/>
                  </w:tcBorders>
                </w:tcPr>
                <w:p/>
              </w:tc>
              <w:tc>
                <w:tcPr>
                  <w:tcW w:type="dxa" w:w="345"/>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实现查阅当前患者的历史住院记录，包括患者基本信息、住院号、病案号、入院天数、护理级别、入院日期、住院科室、病区床号、住院医师、责任护士、入院诊断等。</w:t>
                  </w:r>
                </w:p>
              </w:tc>
            </w:tr>
            <w:tr>
              <w:tc>
                <w:tcPr>
                  <w:tcW w:type="dxa" w:w="378"/>
                  <w:vMerge/>
                  <w:tcBorders>
                    <w:top w:val="none" w:color="000000" w:sz="4"/>
                    <w:left w:val="single" w:color="000000" w:sz="4"/>
                    <w:bottom w:val="single" w:color="000000" w:sz="4"/>
                    <w:right w:val="single" w:color="000000" w:sz="4"/>
                  </w:tcBorders>
                </w:tcPr>
                <w:p/>
              </w:tc>
              <w:tc>
                <w:tcPr>
                  <w:tcW w:type="dxa" w:w="345"/>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进入患者详情页面后，医生查看患者的全部病史，也可以点击按钮切换查看住院病史或门诊病史，点击病史记录则可查看详细的数据信息。</w:t>
                  </w:r>
                </w:p>
              </w:tc>
            </w:tr>
            <w:tr>
              <w:tc>
                <w:tcPr>
                  <w:tcW w:type="dxa" w:w="378"/>
                  <w:vMerge/>
                  <w:tcBorders>
                    <w:top w:val="none" w:color="000000" w:sz="4"/>
                    <w:left w:val="single" w:color="000000" w:sz="4"/>
                    <w:bottom w:val="single" w:color="000000" w:sz="4"/>
                    <w:right w:val="single" w:color="000000" w:sz="4"/>
                  </w:tcBorders>
                </w:tcPr>
                <w:p/>
              </w:tc>
              <w:tc>
                <w:tcPr>
                  <w:tcW w:type="dxa" w:w="34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3.7首页</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实现查阅当前患者的门诊记录，包括患者基本信息、就诊卡号、挂号科室、挂号类型、看诊时间、看诊医生、诊断、门诊病例、处方等信息。</w:t>
                  </w:r>
                </w:p>
              </w:tc>
            </w:tr>
            <w:tr>
              <w:tc>
                <w:tcPr>
                  <w:tcW w:type="dxa" w:w="378"/>
                  <w:vMerge/>
                  <w:tcBorders>
                    <w:top w:val="none" w:color="000000" w:sz="4"/>
                    <w:left w:val="single" w:color="000000" w:sz="4"/>
                    <w:bottom w:val="single" w:color="000000" w:sz="4"/>
                    <w:right w:val="single" w:color="000000" w:sz="4"/>
                  </w:tcBorders>
                </w:tcPr>
                <w:p/>
              </w:tc>
              <w:tc>
                <w:tcPr>
                  <w:tcW w:type="dxa" w:w="345"/>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实现查阅当前患者的住院记录，包括患者基本信息、住院号、病案号、入院天数、护理级别、入院日期、住院科室、病区床号、住院医师、责任护士、入院诊断等。</w:t>
                  </w:r>
                </w:p>
              </w:tc>
            </w:tr>
            <w:tr>
              <w:tc>
                <w:tcPr>
                  <w:tcW w:type="dxa" w:w="378"/>
                  <w:vMerge/>
                  <w:tcBorders>
                    <w:top w:val="none" w:color="000000" w:sz="4"/>
                    <w:left w:val="single" w:color="000000" w:sz="4"/>
                    <w:bottom w:val="single" w:color="000000" w:sz="4"/>
                    <w:right w:val="single" w:color="000000" w:sz="4"/>
                  </w:tcBorders>
                </w:tcPr>
                <w:p/>
              </w:tc>
              <w:tc>
                <w:tcPr>
                  <w:tcW w:type="dxa" w:w="345"/>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实现查阅当前患者的住院医师，点击看诊医生的姓名</w:t>
                  </w:r>
                  <w:r>
                    <w:rPr>
                      <w:rFonts w:ascii="仿宋_GB2312" w:hAnsi="仿宋_GB2312" w:cs="仿宋_GB2312" w:eastAsia="仿宋_GB2312"/>
                      <w:sz w:val="19"/>
                      <w:color w:val="000000"/>
                    </w:rPr>
                    <w:t>,并与看诊/住院医师发起文字会话或语音通话了解患者更多信息。</w:t>
                  </w:r>
                </w:p>
              </w:tc>
            </w:tr>
            <w:tr>
              <w:tc>
                <w:tcPr>
                  <w:tcW w:type="dxa" w:w="378"/>
                  <w:vMerge/>
                  <w:tcBorders>
                    <w:top w:val="none" w:color="000000" w:sz="4"/>
                    <w:left w:val="single" w:color="000000" w:sz="4"/>
                    <w:bottom w:val="single" w:color="000000" w:sz="4"/>
                    <w:right w:val="single" w:color="000000" w:sz="4"/>
                  </w:tcBorders>
                </w:tcPr>
                <w:p/>
              </w:tc>
              <w:tc>
                <w:tcPr>
                  <w:tcW w:type="dxa" w:w="345"/>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实现查阅当前患者的住院费用，包括总费用、预交款、医保类型以及详细的费用明细（按照核算项目展示，如西药费、成药费、检查费等）。</w:t>
                  </w:r>
                </w:p>
              </w:tc>
            </w:tr>
            <w:tr>
              <w:tc>
                <w:tcPr>
                  <w:tcW w:type="dxa" w:w="378"/>
                  <w:vMerge/>
                  <w:tcBorders>
                    <w:top w:val="none" w:color="000000" w:sz="4"/>
                    <w:left w:val="single" w:color="000000" w:sz="4"/>
                    <w:bottom w:val="single" w:color="000000" w:sz="4"/>
                    <w:right w:val="single" w:color="000000" w:sz="4"/>
                  </w:tcBorders>
                </w:tcPr>
                <w:p/>
              </w:tc>
              <w:tc>
                <w:tcPr>
                  <w:tcW w:type="dxa" w:w="345"/>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医生查看不同分组的患者，包括在院患者、入院患者、出院患者、我的患者以及收藏患者。</w:t>
                  </w:r>
                </w:p>
              </w:tc>
            </w:tr>
            <w:tr>
              <w:tc>
                <w:tcPr>
                  <w:tcW w:type="dxa" w:w="378"/>
                  <w:vMerge/>
                  <w:tcBorders>
                    <w:top w:val="none" w:color="000000" w:sz="4"/>
                    <w:left w:val="single" w:color="000000" w:sz="4"/>
                    <w:bottom w:val="single" w:color="000000" w:sz="4"/>
                    <w:right w:val="single" w:color="000000" w:sz="4"/>
                  </w:tcBorders>
                </w:tcPr>
                <w:p/>
              </w:tc>
              <w:tc>
                <w:tcPr>
                  <w:tcW w:type="dxa" w:w="345"/>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每个分组下展示不同科室的患者，点击患者即可查看该患者的详细数据。</w:t>
                  </w:r>
                </w:p>
              </w:tc>
            </w:tr>
            <w:tr>
              <w:tc>
                <w:tcPr>
                  <w:tcW w:type="dxa" w:w="378"/>
                  <w:vMerge/>
                  <w:tcBorders>
                    <w:top w:val="none" w:color="000000" w:sz="4"/>
                    <w:left w:val="single" w:color="000000" w:sz="4"/>
                    <w:bottom w:val="single" w:color="000000" w:sz="4"/>
                    <w:right w:val="single" w:color="000000" w:sz="4"/>
                  </w:tcBorders>
                </w:tcPr>
                <w:p/>
              </w:tc>
              <w:tc>
                <w:tcPr>
                  <w:tcW w:type="dxa" w:w="34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3.8病历</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医生通过文书类型快速查找浏览患者相关文书。</w:t>
                  </w:r>
                </w:p>
              </w:tc>
            </w:tr>
            <w:tr>
              <w:tc>
                <w:tcPr>
                  <w:tcW w:type="dxa" w:w="378"/>
                  <w:vMerge/>
                  <w:tcBorders>
                    <w:top w:val="none" w:color="000000" w:sz="4"/>
                    <w:left w:val="single" w:color="000000" w:sz="4"/>
                    <w:bottom w:val="single" w:color="000000" w:sz="4"/>
                    <w:right w:val="single" w:color="000000" w:sz="4"/>
                  </w:tcBorders>
                </w:tcPr>
                <w:p/>
              </w:tc>
              <w:tc>
                <w:tcPr>
                  <w:tcW w:type="dxa" w:w="345"/>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▲实现查阅患者的病历记录，按照病历分类展示，包括入院记录、首次病程记录、查房记录、日常病程记录、手术记录、出院记录等详细情况。</w:t>
                  </w:r>
                </w:p>
              </w:tc>
            </w:tr>
            <w:tr>
              <w:tc>
                <w:tcPr>
                  <w:tcW w:type="dxa" w:w="378"/>
                  <w:vMerge/>
                  <w:tcBorders>
                    <w:top w:val="none" w:color="000000" w:sz="4"/>
                    <w:left w:val="single" w:color="000000" w:sz="4"/>
                    <w:bottom w:val="single" w:color="000000" w:sz="4"/>
                    <w:right w:val="single" w:color="000000" w:sz="4"/>
                  </w:tcBorders>
                </w:tcPr>
                <w:p/>
              </w:tc>
              <w:tc>
                <w:tcPr>
                  <w:tcW w:type="dxa" w:w="345"/>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点击相应文书即可查看此次文书记录的详细信息。</w:t>
                  </w:r>
                </w:p>
              </w:tc>
            </w:tr>
            <w:tr>
              <w:tc>
                <w:tcPr>
                  <w:tcW w:type="dxa" w:w="378"/>
                  <w:vMerge/>
                  <w:tcBorders>
                    <w:top w:val="none" w:color="000000" w:sz="4"/>
                    <w:left w:val="single" w:color="000000" w:sz="4"/>
                    <w:bottom w:val="single" w:color="000000" w:sz="4"/>
                    <w:right w:val="single" w:color="000000" w:sz="4"/>
                  </w:tcBorders>
                </w:tcPr>
                <w:p/>
              </w:tc>
              <w:tc>
                <w:tcPr>
                  <w:tcW w:type="dxa" w:w="34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3.9医嘱</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实现长期医嘱、临时医嘱之间进行页面切换；实现开立各类医嘱。</w:t>
                  </w:r>
                </w:p>
              </w:tc>
            </w:tr>
            <w:tr>
              <w:tc>
                <w:tcPr>
                  <w:tcW w:type="dxa" w:w="378"/>
                  <w:vMerge/>
                  <w:tcBorders>
                    <w:top w:val="none" w:color="000000" w:sz="4"/>
                    <w:left w:val="single" w:color="000000" w:sz="4"/>
                    <w:bottom w:val="single" w:color="000000" w:sz="4"/>
                    <w:right w:val="single" w:color="000000" w:sz="4"/>
                  </w:tcBorders>
                </w:tcPr>
                <w:p/>
              </w:tc>
              <w:tc>
                <w:tcPr>
                  <w:tcW w:type="dxa" w:w="345"/>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实现医生按照所筛选日期范围、开嘱医生、医嘱类型等方式查看患者的临时医嘱，并查看医嘱的开立、执行、停止等状态。</w:t>
                  </w:r>
                </w:p>
              </w:tc>
            </w:tr>
            <w:tr>
              <w:tc>
                <w:tcPr>
                  <w:tcW w:type="dxa" w:w="378"/>
                  <w:vMerge/>
                  <w:tcBorders>
                    <w:top w:val="none" w:color="000000" w:sz="4"/>
                    <w:left w:val="single" w:color="000000" w:sz="4"/>
                    <w:bottom w:val="single" w:color="000000" w:sz="4"/>
                    <w:right w:val="single" w:color="000000" w:sz="4"/>
                  </w:tcBorders>
                </w:tcPr>
                <w:p/>
              </w:tc>
              <w:tc>
                <w:tcPr>
                  <w:tcW w:type="dxa" w:w="345"/>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实现医生按照所筛选日期范围、开嘱医生、医嘱类型等方式查看住院患者的长期医嘱信息，并查看医嘱的开立、执行、停止等状态。</w:t>
                  </w:r>
                </w:p>
              </w:tc>
            </w:tr>
            <w:tr>
              <w:tc>
                <w:tcPr>
                  <w:tcW w:type="dxa" w:w="378"/>
                  <w:vMerge/>
                  <w:tcBorders>
                    <w:top w:val="none" w:color="000000" w:sz="4"/>
                    <w:left w:val="single" w:color="000000" w:sz="4"/>
                    <w:bottom w:val="single" w:color="000000" w:sz="4"/>
                    <w:right w:val="single" w:color="000000" w:sz="4"/>
                  </w:tcBorders>
                </w:tcPr>
                <w:p/>
              </w:tc>
              <w:tc>
                <w:tcPr>
                  <w:tcW w:type="dxa" w:w="345"/>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实现医生点击某条医嘱查看当前医嘱的详细情况。</w:t>
                  </w:r>
                </w:p>
              </w:tc>
            </w:tr>
            <w:tr>
              <w:tc>
                <w:tcPr>
                  <w:tcW w:type="dxa" w:w="378"/>
                  <w:vMerge/>
                  <w:tcBorders>
                    <w:top w:val="none" w:color="000000" w:sz="4"/>
                    <w:left w:val="single" w:color="000000" w:sz="4"/>
                    <w:bottom w:val="single" w:color="000000" w:sz="4"/>
                    <w:right w:val="single" w:color="000000" w:sz="4"/>
                  </w:tcBorders>
                </w:tcPr>
                <w:p/>
              </w:tc>
              <w:tc>
                <w:tcPr>
                  <w:tcW w:type="dxa" w:w="345"/>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实现查阅患者的长期医嘱，包括每天的详细数据，如执行时间、执行人、是否有效等。</w:t>
                  </w:r>
                </w:p>
              </w:tc>
            </w:tr>
            <w:tr>
              <w:tc>
                <w:tcPr>
                  <w:tcW w:type="dxa" w:w="378"/>
                  <w:vMerge/>
                  <w:tcBorders>
                    <w:top w:val="none" w:color="000000" w:sz="4"/>
                    <w:left w:val="single" w:color="000000" w:sz="4"/>
                    <w:bottom w:val="single" w:color="000000" w:sz="4"/>
                    <w:right w:val="single" w:color="000000" w:sz="4"/>
                  </w:tcBorders>
                </w:tcPr>
                <w:p/>
              </w:tc>
              <w:tc>
                <w:tcPr>
                  <w:tcW w:type="dxa" w:w="345"/>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实现查阅患者的临时医嘱，包括每天的详细数据，如执行时间、执行人、是否有效等。</w:t>
                  </w:r>
                </w:p>
              </w:tc>
            </w:tr>
            <w:tr>
              <w:tc>
                <w:tcPr>
                  <w:tcW w:type="dxa" w:w="378"/>
                  <w:vMerge/>
                  <w:tcBorders>
                    <w:top w:val="none" w:color="000000" w:sz="4"/>
                    <w:left w:val="single" w:color="000000" w:sz="4"/>
                    <w:bottom w:val="single" w:color="000000" w:sz="4"/>
                    <w:right w:val="single" w:color="000000" w:sz="4"/>
                  </w:tcBorders>
                </w:tcPr>
                <w:p/>
              </w:tc>
              <w:tc>
                <w:tcPr>
                  <w:tcW w:type="dxa" w:w="34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3.10检验</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医生根据项目分类查询单项检验结果折线图以及历次结果对比，具体包括查询检验列表，查询检验结果详情。</w:t>
                  </w:r>
                </w:p>
              </w:tc>
            </w:tr>
            <w:tr>
              <w:tc>
                <w:tcPr>
                  <w:tcW w:type="dxa" w:w="378"/>
                  <w:vMerge/>
                  <w:tcBorders>
                    <w:top w:val="none" w:color="000000" w:sz="4"/>
                    <w:left w:val="single" w:color="000000" w:sz="4"/>
                    <w:bottom w:val="single" w:color="000000" w:sz="4"/>
                    <w:right w:val="single" w:color="000000" w:sz="4"/>
                  </w:tcBorders>
                </w:tcPr>
                <w:p/>
              </w:tc>
              <w:tc>
                <w:tcPr>
                  <w:tcW w:type="dxa" w:w="345"/>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实现医生查询某条检验数据的详情及结果，列表按照时间倒序排列，有异常指标的检验项目用特殊标记进行提醒，查看患者的检验异常数据。</w:t>
                  </w:r>
                </w:p>
              </w:tc>
            </w:tr>
            <w:tr>
              <w:tc>
                <w:tcPr>
                  <w:tcW w:type="dxa" w:w="378"/>
                  <w:vMerge/>
                  <w:tcBorders>
                    <w:top w:val="none" w:color="000000" w:sz="4"/>
                    <w:left w:val="single" w:color="000000" w:sz="4"/>
                    <w:bottom w:val="single" w:color="000000" w:sz="4"/>
                    <w:right w:val="single" w:color="000000" w:sz="4"/>
                  </w:tcBorders>
                </w:tcPr>
                <w:p/>
              </w:tc>
              <w:tc>
                <w:tcPr>
                  <w:tcW w:type="dxa" w:w="345"/>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▲点击查看检验单详情，每项指标点击自动生成患者在本院历次就诊的指标变化趋势图，在所筛选时间区间查看某项检验结果的数据波动。</w:t>
                  </w:r>
                </w:p>
              </w:tc>
            </w:tr>
            <w:tr>
              <w:tc>
                <w:tcPr>
                  <w:tcW w:type="dxa" w:w="378"/>
                  <w:vMerge/>
                  <w:tcBorders>
                    <w:top w:val="none" w:color="000000" w:sz="4"/>
                    <w:left w:val="single" w:color="000000" w:sz="4"/>
                    <w:bottom w:val="single" w:color="000000" w:sz="4"/>
                    <w:right w:val="single" w:color="000000" w:sz="4"/>
                  </w:tcBorders>
                </w:tcPr>
                <w:p/>
              </w:tc>
              <w:tc>
                <w:tcPr>
                  <w:tcW w:type="dxa" w:w="345"/>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点击报告可查看详细的数据，包括每个检验项的名称、单位、结果、参考值及状态。</w:t>
                  </w:r>
                </w:p>
              </w:tc>
            </w:tr>
            <w:tr>
              <w:tc>
                <w:tcPr>
                  <w:tcW w:type="dxa" w:w="378"/>
                  <w:vMerge/>
                  <w:tcBorders>
                    <w:top w:val="none" w:color="000000" w:sz="4"/>
                    <w:left w:val="single" w:color="000000" w:sz="4"/>
                    <w:bottom w:val="single" w:color="000000" w:sz="4"/>
                    <w:right w:val="single" w:color="000000" w:sz="4"/>
                  </w:tcBorders>
                </w:tcPr>
                <w:p/>
              </w:tc>
              <w:tc>
                <w:tcPr>
                  <w:tcW w:type="dxa" w:w="34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3.11检查</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医生根据项目分类查询检查结果详情，具体包括查询检查列表。</w:t>
                  </w:r>
                </w:p>
              </w:tc>
            </w:tr>
            <w:tr>
              <w:tc>
                <w:tcPr>
                  <w:tcW w:type="dxa" w:w="378"/>
                  <w:vMerge/>
                  <w:tcBorders>
                    <w:top w:val="none" w:color="000000" w:sz="4"/>
                    <w:left w:val="single" w:color="000000" w:sz="4"/>
                    <w:bottom w:val="single" w:color="000000" w:sz="4"/>
                    <w:right w:val="single" w:color="000000" w:sz="4"/>
                  </w:tcBorders>
                </w:tcPr>
                <w:p/>
              </w:tc>
              <w:tc>
                <w:tcPr>
                  <w:tcW w:type="dxa" w:w="345"/>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医生查询患者当次就诊的检查列表，列表按照时间倒序排列。</w:t>
                  </w:r>
                </w:p>
              </w:tc>
            </w:tr>
            <w:tr>
              <w:tc>
                <w:tcPr>
                  <w:tcW w:type="dxa" w:w="378"/>
                  <w:vMerge/>
                  <w:tcBorders>
                    <w:top w:val="none" w:color="000000" w:sz="4"/>
                    <w:left w:val="single" w:color="000000" w:sz="4"/>
                    <w:bottom w:val="single" w:color="000000" w:sz="4"/>
                    <w:right w:val="single" w:color="000000" w:sz="4"/>
                  </w:tcBorders>
                </w:tcPr>
                <w:p/>
              </w:tc>
              <w:tc>
                <w:tcPr>
                  <w:tcW w:type="dxa" w:w="345"/>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每条数据包括各项检查结果，若有检查报告则会有相关报告链接，若有检查图像亦有相关检查图像链接，实现医生点击查看相关报告及图像。</w:t>
                  </w:r>
                </w:p>
              </w:tc>
            </w:tr>
            <w:tr>
              <w:tc>
                <w:tcPr>
                  <w:tcW w:type="dxa" w:w="378"/>
                  <w:vMerge/>
                  <w:tcBorders>
                    <w:top w:val="none" w:color="000000" w:sz="4"/>
                    <w:left w:val="single" w:color="000000" w:sz="4"/>
                    <w:bottom w:val="single" w:color="000000" w:sz="4"/>
                    <w:right w:val="single" w:color="000000" w:sz="4"/>
                  </w:tcBorders>
                </w:tcPr>
                <w:p/>
              </w:tc>
              <w:tc>
                <w:tcPr>
                  <w:tcW w:type="dxa" w:w="345"/>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查看检查报告结果详情、检查报告、检查图像等。</w:t>
                  </w:r>
                </w:p>
              </w:tc>
            </w:tr>
            <w:tr>
              <w:tc>
                <w:tcPr>
                  <w:tcW w:type="dxa" w:w="378"/>
                  <w:vMerge/>
                  <w:tcBorders>
                    <w:top w:val="none" w:color="000000" w:sz="4"/>
                    <w:left w:val="single" w:color="000000" w:sz="4"/>
                    <w:bottom w:val="single" w:color="000000" w:sz="4"/>
                    <w:right w:val="single" w:color="000000" w:sz="4"/>
                  </w:tcBorders>
                </w:tcPr>
                <w:p/>
              </w:tc>
              <w:tc>
                <w:tcPr>
                  <w:tcW w:type="dxa" w:w="345"/>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点击检查列表中某条数据，实现医生查看此次结果的详情，详情包括检查的基本信息、检查所见、检查详情以及诊断意见等。</w:t>
                  </w:r>
                </w:p>
              </w:tc>
            </w:tr>
            <w:tr>
              <w:tc>
                <w:tcPr>
                  <w:tcW w:type="dxa" w:w="378"/>
                  <w:vMerge/>
                  <w:tcBorders>
                    <w:top w:val="none" w:color="000000" w:sz="4"/>
                    <w:left w:val="single" w:color="000000" w:sz="4"/>
                    <w:bottom w:val="single" w:color="000000" w:sz="4"/>
                    <w:right w:val="single" w:color="000000" w:sz="4"/>
                  </w:tcBorders>
                </w:tcP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3.12影像</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实现查阅检查项目的影像，方便医生对影像进行详细地查看及分析。</w:t>
                  </w:r>
                </w:p>
              </w:tc>
            </w:tr>
            <w:tr>
              <w:tc>
                <w:tcPr>
                  <w:tcW w:type="dxa" w:w="378"/>
                  <w:vMerge/>
                  <w:tcBorders>
                    <w:top w:val="none" w:color="000000" w:sz="4"/>
                    <w:left w:val="single" w:color="000000" w:sz="4"/>
                    <w:bottom w:val="single" w:color="000000" w:sz="4"/>
                    <w:right w:val="single" w:color="000000" w:sz="4"/>
                  </w:tcBorders>
                </w:tcPr>
                <w:p/>
              </w:tc>
              <w:tc>
                <w:tcPr>
                  <w:tcW w:type="dxa" w:w="34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3.13心电图</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实现查阅患者的心电图，包括患者基本信息、检查时间、心电图结果等信息。</w:t>
                  </w:r>
                </w:p>
              </w:tc>
            </w:tr>
            <w:tr>
              <w:tc>
                <w:tcPr>
                  <w:tcW w:type="dxa" w:w="378"/>
                  <w:vMerge/>
                  <w:tcBorders>
                    <w:top w:val="none" w:color="000000" w:sz="4"/>
                    <w:left w:val="single" w:color="000000" w:sz="4"/>
                    <w:bottom w:val="single" w:color="000000" w:sz="4"/>
                    <w:right w:val="single" w:color="000000" w:sz="4"/>
                  </w:tcBorders>
                </w:tcPr>
                <w:p/>
              </w:tc>
              <w:tc>
                <w:tcPr>
                  <w:tcW w:type="dxa" w:w="345"/>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实现查看心电图图像。</w:t>
                  </w:r>
                </w:p>
              </w:tc>
            </w:tr>
            <w:tr>
              <w:tc>
                <w:tcPr>
                  <w:tcW w:type="dxa" w:w="378"/>
                  <w:vMerge/>
                  <w:tcBorders>
                    <w:top w:val="none" w:color="000000" w:sz="4"/>
                    <w:left w:val="single" w:color="000000" w:sz="4"/>
                    <w:bottom w:val="single" w:color="000000" w:sz="4"/>
                    <w:right w:val="single" w:color="000000" w:sz="4"/>
                  </w:tcBorders>
                </w:tcPr>
                <w:p/>
              </w:tc>
              <w:tc>
                <w:tcPr>
                  <w:tcW w:type="dxa" w:w="34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3.14病理</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实现查看病理报告。</w:t>
                  </w:r>
                </w:p>
              </w:tc>
            </w:tr>
            <w:tr>
              <w:tc>
                <w:tcPr>
                  <w:tcW w:type="dxa" w:w="378"/>
                  <w:vMerge/>
                  <w:tcBorders>
                    <w:top w:val="none" w:color="000000" w:sz="4"/>
                    <w:left w:val="single" w:color="000000" w:sz="4"/>
                    <w:bottom w:val="single" w:color="000000" w:sz="4"/>
                    <w:right w:val="single" w:color="000000" w:sz="4"/>
                  </w:tcBorders>
                </w:tcPr>
                <w:p/>
              </w:tc>
              <w:tc>
                <w:tcPr>
                  <w:tcW w:type="dxa" w:w="345"/>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实现查阅患者的病理报告详情，包括患者基本信息、检查科室、报告医生、图像及病理诊断等。</w:t>
                  </w:r>
                </w:p>
              </w:tc>
            </w:tr>
            <w:tr>
              <w:tc>
                <w:tcPr>
                  <w:tcW w:type="dxa" w:w="378"/>
                  <w:vMerge/>
                  <w:tcBorders>
                    <w:top w:val="none" w:color="000000" w:sz="4"/>
                    <w:left w:val="single" w:color="000000" w:sz="4"/>
                    <w:bottom w:val="single" w:color="000000" w:sz="4"/>
                    <w:right w:val="single" w:color="000000" w:sz="4"/>
                  </w:tcBorders>
                </w:tcP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3.15手术</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实现查阅患者的手术记录，包括患者基本信息、手术安排、手术名称、麻醉方式、术前诊断、开始时间、结束时间等详细数据。</w:t>
                  </w:r>
                </w:p>
              </w:tc>
            </w:tr>
            <w:tr>
              <w:tc>
                <w:tcPr>
                  <w:tcW w:type="dxa" w:w="378"/>
                  <w:vMerge/>
                  <w:tcBorders>
                    <w:top w:val="none" w:color="000000" w:sz="4"/>
                    <w:left w:val="single" w:color="000000" w:sz="4"/>
                    <w:bottom w:val="single" w:color="000000" w:sz="4"/>
                    <w:right w:val="single" w:color="000000" w:sz="4"/>
                  </w:tcBorders>
                </w:tcPr>
                <w:p/>
              </w:tc>
              <w:tc>
                <w:tcPr>
                  <w:tcW w:type="dxa" w:w="34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3.16护理</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实现查阅患者的护理记录，按照护理时间排序，包括护理时间、记录人、脉搏、心率、呼吸、血压、体温、措施等信息。</w:t>
                  </w:r>
                </w:p>
              </w:tc>
            </w:tr>
            <w:tr>
              <w:tc>
                <w:tcPr>
                  <w:tcW w:type="dxa" w:w="378"/>
                  <w:vMerge/>
                  <w:tcBorders>
                    <w:top w:val="none" w:color="000000" w:sz="4"/>
                    <w:left w:val="single" w:color="000000" w:sz="4"/>
                    <w:bottom w:val="single" w:color="000000" w:sz="4"/>
                    <w:right w:val="single" w:color="000000" w:sz="4"/>
                  </w:tcBorders>
                </w:tcPr>
                <w:p/>
              </w:tc>
              <w:tc>
                <w:tcPr>
                  <w:tcW w:type="dxa" w:w="345"/>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查阅数据时在筛选时间范围内查看折线图或柱状图，可自由拖动时间轴选择相应的时间范围。</w:t>
                  </w:r>
                </w:p>
              </w:tc>
            </w:tr>
            <w:tr>
              <w:tc>
                <w:tcPr>
                  <w:tcW w:type="dxa" w:w="378"/>
                  <w:vMerge/>
                  <w:tcBorders>
                    <w:top w:val="none" w:color="000000" w:sz="4"/>
                    <w:left w:val="single" w:color="000000" w:sz="4"/>
                    <w:bottom w:val="single" w:color="000000" w:sz="4"/>
                    <w:right w:val="single" w:color="000000" w:sz="4"/>
                  </w:tcBorders>
                </w:tcPr>
                <w:p/>
              </w:tc>
              <w:tc>
                <w:tcPr>
                  <w:tcW w:type="dxa" w:w="345"/>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实现显示患者生命体征，默认显示当前患者全部的生命体征趋势图，趋势图中显示所筛选时间范围内的生命体征。</w:t>
                  </w:r>
                </w:p>
              </w:tc>
            </w:tr>
            <w:tr>
              <w:tc>
                <w:tcPr>
                  <w:tcW w:type="dxa" w:w="378"/>
                  <w:vMerge/>
                  <w:tcBorders>
                    <w:top w:val="none" w:color="000000" w:sz="4"/>
                    <w:left w:val="single" w:color="000000" w:sz="4"/>
                    <w:bottom w:val="single" w:color="000000" w:sz="4"/>
                    <w:right w:val="single" w:color="000000" w:sz="4"/>
                  </w:tcBorders>
                </w:tcPr>
                <w:p/>
              </w:tc>
              <w:tc>
                <w:tcPr>
                  <w:tcW w:type="dxa" w:w="34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3.17会诊</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实现查询患者的会诊记录。</w:t>
                  </w:r>
                </w:p>
              </w:tc>
            </w:tr>
            <w:tr>
              <w:tc>
                <w:tcPr>
                  <w:tcW w:type="dxa" w:w="378"/>
                  <w:vMerge/>
                  <w:tcBorders>
                    <w:top w:val="none" w:color="000000" w:sz="4"/>
                    <w:left w:val="single" w:color="000000" w:sz="4"/>
                    <w:bottom w:val="single" w:color="000000" w:sz="4"/>
                    <w:right w:val="single" w:color="000000" w:sz="4"/>
                  </w:tcBorders>
                </w:tcPr>
                <w:p/>
              </w:tc>
              <w:tc>
                <w:tcPr>
                  <w:tcW w:type="dxa" w:w="345"/>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用户可根据所需日期进行筛选。</w:t>
                  </w:r>
                </w:p>
              </w:tc>
            </w:tr>
            <w:tr>
              <w:tc>
                <w:tcPr>
                  <w:tcW w:type="dxa" w:w="378"/>
                  <w:vMerge/>
                  <w:tcBorders>
                    <w:top w:val="none" w:color="000000" w:sz="4"/>
                    <w:left w:val="single" w:color="000000" w:sz="4"/>
                    <w:bottom w:val="single" w:color="000000" w:sz="4"/>
                    <w:right w:val="single" w:color="000000" w:sz="4"/>
                  </w:tcBorders>
                </w:tcPr>
                <w:p/>
              </w:tc>
              <w:tc>
                <w:tcPr>
                  <w:tcW w:type="dxa" w:w="345"/>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查看此次就诊的会诊列表中某一条会诊记录的详细信息，详细信息包括患者基本信息，病情摘要、会诊目的，主要诊断，会诊状态等；实现录入会诊意见。</w:t>
                  </w:r>
                </w:p>
              </w:tc>
            </w:tr>
            <w:tr>
              <w:tc>
                <w:tcPr>
                  <w:tcW w:type="dxa" w:w="378"/>
                  <w:vMerge/>
                  <w:tcBorders>
                    <w:top w:val="none" w:color="000000" w:sz="4"/>
                    <w:left w:val="single" w:color="000000" w:sz="4"/>
                    <w:bottom w:val="single" w:color="000000" w:sz="4"/>
                    <w:right w:val="single" w:color="000000" w:sz="4"/>
                  </w:tcBorders>
                </w:tcPr>
                <w:p/>
              </w:tc>
              <w:tc>
                <w:tcPr>
                  <w:tcW w:type="dxa" w:w="34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3.18危急值</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实现查询患者的危急值。实现危急值提醒。</w:t>
                  </w:r>
                </w:p>
              </w:tc>
            </w:tr>
            <w:tr>
              <w:tc>
                <w:tcPr>
                  <w:tcW w:type="dxa" w:w="378"/>
                  <w:vMerge/>
                  <w:tcBorders>
                    <w:top w:val="none" w:color="000000" w:sz="4"/>
                    <w:left w:val="single" w:color="000000" w:sz="4"/>
                    <w:bottom w:val="single" w:color="000000" w:sz="4"/>
                    <w:right w:val="single" w:color="000000" w:sz="4"/>
                  </w:tcBorders>
                </w:tcPr>
                <w:p/>
              </w:tc>
              <w:tc>
                <w:tcPr>
                  <w:tcW w:type="dxa" w:w="345"/>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用户可根据所需日期进行筛选。</w:t>
                  </w:r>
                </w:p>
              </w:tc>
            </w:tr>
            <w:tr>
              <w:tc>
                <w:tcPr>
                  <w:tcW w:type="dxa" w:w="378"/>
                  <w:vMerge/>
                  <w:tcBorders>
                    <w:top w:val="none" w:color="000000" w:sz="4"/>
                    <w:left w:val="single" w:color="000000" w:sz="4"/>
                    <w:bottom w:val="single" w:color="000000" w:sz="4"/>
                    <w:right w:val="single" w:color="000000" w:sz="4"/>
                  </w:tcBorders>
                </w:tcPr>
                <w:p/>
              </w:tc>
              <w:tc>
                <w:tcPr>
                  <w:tcW w:type="dxa" w:w="345"/>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实现医生按照所需日期查看有危急值的病人列表。</w:t>
                  </w:r>
                </w:p>
              </w:tc>
            </w:tr>
            <w:tr>
              <w:tc>
                <w:tcPr>
                  <w:tcW w:type="dxa" w:w="378"/>
                  <w:vMerge/>
                  <w:tcBorders>
                    <w:top w:val="none" w:color="000000" w:sz="4"/>
                    <w:left w:val="single" w:color="000000" w:sz="4"/>
                    <w:bottom w:val="single" w:color="000000" w:sz="4"/>
                    <w:right w:val="single" w:color="000000" w:sz="4"/>
                  </w:tcBorders>
                </w:tcPr>
                <w:p/>
              </w:tc>
              <w:tc>
                <w:tcPr>
                  <w:tcW w:type="dxa" w:w="345"/>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点击危急值的某条数据之后可查看此次危急值的详情信息。</w:t>
                  </w:r>
                </w:p>
              </w:tc>
            </w:tr>
            <w:tr>
              <w:tc>
                <w:tcPr>
                  <w:tcW w:type="dxa" w:w="378"/>
                  <w:vMerge/>
                  <w:tcBorders>
                    <w:top w:val="none" w:color="000000" w:sz="4"/>
                    <w:left w:val="single" w:color="000000" w:sz="4"/>
                    <w:bottom w:val="single" w:color="000000" w:sz="4"/>
                    <w:right w:val="single" w:color="000000" w:sz="4"/>
                  </w:tcBorders>
                </w:tcPr>
                <w:p/>
              </w:tc>
              <w:tc>
                <w:tcPr>
                  <w:tcW w:type="dxa" w:w="34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3.19收藏</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实现收藏患者功能，医生对特殊患者或需要频繁查看患者信息时，选择收藏进行重点关注。</w:t>
                  </w:r>
                </w:p>
              </w:tc>
            </w:tr>
            <w:tr>
              <w:tc>
                <w:tcPr>
                  <w:tcW w:type="dxa" w:w="378"/>
                  <w:vMerge/>
                  <w:tcBorders>
                    <w:top w:val="none" w:color="000000" w:sz="4"/>
                    <w:left w:val="single" w:color="000000" w:sz="4"/>
                    <w:bottom w:val="single" w:color="000000" w:sz="4"/>
                    <w:right w:val="single" w:color="000000" w:sz="4"/>
                  </w:tcBorders>
                </w:tcPr>
                <w:p/>
              </w:tc>
              <w:tc>
                <w:tcPr>
                  <w:tcW w:type="dxa" w:w="345"/>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再次查阅该患者信息时只需要点击</w:t>
                  </w:r>
                  <w:r>
                    <w:rPr>
                      <w:rFonts w:ascii="仿宋_GB2312" w:hAnsi="仿宋_GB2312" w:cs="仿宋_GB2312" w:eastAsia="仿宋_GB2312"/>
                      <w:sz w:val="19"/>
                      <w:color w:val="000000"/>
                    </w:rPr>
                    <w:t>“我的”即可快速找到该患者，快速调阅关注患者的检验、检查、病历等各类信息。</w:t>
                  </w:r>
                </w:p>
              </w:tc>
            </w:tr>
            <w:tr>
              <w:tc>
                <w:tcPr>
                  <w:tcW w:type="dxa" w:w="378"/>
                  <w:vMerge/>
                  <w:tcBorders>
                    <w:top w:val="none" w:color="000000" w:sz="4"/>
                    <w:left w:val="single" w:color="000000" w:sz="4"/>
                    <w:bottom w:val="single" w:color="000000" w:sz="4"/>
                    <w:right w:val="single" w:color="000000" w:sz="4"/>
                  </w:tcBorders>
                </w:tcPr>
                <w:p/>
              </w:tc>
              <w:tc>
                <w:tcPr>
                  <w:tcW w:type="dxa" w:w="345"/>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不再对该患者进行重点关注或频繁查阅信息时，选择取消收藏该患者。</w:t>
                  </w:r>
                </w:p>
              </w:tc>
            </w:tr>
            <w:tr>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4、全院患者</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4.1全院患者入口</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实现点击查看当前所有在院患者的信息，严格进行权限控制，只允许具有该权限的用户进行查询操作。</w:t>
                  </w:r>
                </w:p>
              </w:tc>
            </w:tr>
            <w:tr>
              <w:tc>
                <w:tcPr>
                  <w:tcW w:type="dxa" w:w="3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5、患者管理</w:t>
                  </w:r>
                </w:p>
              </w:tc>
              <w:tc>
                <w:tcPr>
                  <w:tcW w:type="dxa" w:w="34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5.1我的患者</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默认展现该医生分管的所有患者信息，按照住院号或床位号等方式进行排序，列表页显示每一位患者的基本信息，如性别，姓名，住院号，床位号，年龄，诊断，病情，护理等级等。</w:t>
                  </w:r>
                </w:p>
              </w:tc>
            </w:tr>
            <w:tr>
              <w:tc>
                <w:tcPr>
                  <w:tcW w:type="dxa" w:w="378"/>
                  <w:vMerge/>
                  <w:tcBorders>
                    <w:top w:val="none" w:color="000000" w:sz="4"/>
                    <w:left w:val="single" w:color="000000" w:sz="4"/>
                    <w:bottom w:val="single" w:color="000000" w:sz="4"/>
                    <w:right w:val="single" w:color="000000" w:sz="4"/>
                  </w:tcBorders>
                </w:tcPr>
                <w:p/>
              </w:tc>
              <w:tc>
                <w:tcPr>
                  <w:tcW w:type="dxa" w:w="345"/>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患者详情页，展现患者的所有信息，如基础信息、诊断信息、手术信息、住院信息等。</w:t>
                  </w:r>
                </w:p>
              </w:tc>
            </w:tr>
            <w:tr>
              <w:tc>
                <w:tcPr>
                  <w:tcW w:type="dxa" w:w="378"/>
                  <w:vMerge/>
                  <w:tcBorders>
                    <w:top w:val="none" w:color="000000" w:sz="4"/>
                    <w:left w:val="single" w:color="000000" w:sz="4"/>
                    <w:bottom w:val="single" w:color="000000" w:sz="4"/>
                    <w:right w:val="single" w:color="000000" w:sz="4"/>
                  </w:tcBorders>
                </w:tcPr>
                <w:p/>
              </w:tc>
              <w:tc>
                <w:tcPr>
                  <w:tcW w:type="dxa" w:w="345"/>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患者详情页，展现该患者病历，医嘱，检验，检查，护理记录，病案首页，费用详情查询。</w:t>
                  </w:r>
                </w:p>
              </w:tc>
            </w:tr>
            <w:tr>
              <w:tc>
                <w:tcPr>
                  <w:tcW w:type="dxa" w:w="378"/>
                  <w:vMerge/>
                  <w:tcBorders>
                    <w:top w:val="none" w:color="000000" w:sz="4"/>
                    <w:left w:val="single" w:color="000000" w:sz="4"/>
                    <w:bottom w:val="single" w:color="000000" w:sz="4"/>
                    <w:right w:val="single" w:color="000000" w:sz="4"/>
                  </w:tcBorders>
                </w:tcPr>
                <w:p/>
              </w:tc>
              <w:tc>
                <w:tcPr>
                  <w:tcW w:type="dxa" w:w="345"/>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我的患者里，展现该账号管床的所有未出院患者。</w:t>
                  </w:r>
                </w:p>
              </w:tc>
            </w:tr>
            <w:tr>
              <w:tc>
                <w:tcPr>
                  <w:tcW w:type="dxa" w:w="378"/>
                  <w:vMerge/>
                  <w:tcBorders>
                    <w:top w:val="none" w:color="000000" w:sz="4"/>
                    <w:left w:val="single" w:color="000000" w:sz="4"/>
                    <w:bottom w:val="single" w:color="000000" w:sz="4"/>
                    <w:right w:val="single" w:color="000000" w:sz="4"/>
                  </w:tcBorders>
                </w:tcPr>
                <w:p/>
              </w:tc>
              <w:tc>
                <w:tcPr>
                  <w:tcW w:type="dxa" w:w="34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5.2科室患者</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默认展现本科室（或权限范围内所有科室）的目前所有在院患者。</w:t>
                  </w:r>
                </w:p>
              </w:tc>
            </w:tr>
            <w:tr>
              <w:tc>
                <w:tcPr>
                  <w:tcW w:type="dxa" w:w="378"/>
                  <w:vMerge/>
                  <w:tcBorders>
                    <w:top w:val="none" w:color="000000" w:sz="4"/>
                    <w:left w:val="single" w:color="000000" w:sz="4"/>
                    <w:bottom w:val="single" w:color="000000" w:sz="4"/>
                    <w:right w:val="single" w:color="000000" w:sz="4"/>
                  </w:tcBorders>
                </w:tcPr>
                <w:p/>
              </w:tc>
              <w:tc>
                <w:tcPr>
                  <w:tcW w:type="dxa" w:w="345"/>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实现医生根据医生住院权限，在多个院区、住院科室之间进行切换。</w:t>
                  </w:r>
                </w:p>
              </w:tc>
            </w:tr>
            <w:tr>
              <w:tc>
                <w:tcPr>
                  <w:tcW w:type="dxa" w:w="378"/>
                  <w:vMerge/>
                  <w:tcBorders>
                    <w:top w:val="none" w:color="000000" w:sz="4"/>
                    <w:left w:val="single" w:color="000000" w:sz="4"/>
                    <w:bottom w:val="single" w:color="000000" w:sz="4"/>
                    <w:right w:val="single" w:color="000000" w:sz="4"/>
                  </w:tcBorders>
                </w:tcPr>
                <w:p/>
              </w:tc>
              <w:tc>
                <w:tcPr>
                  <w:tcW w:type="dxa" w:w="345"/>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可以查看本科室（或权限范围内所有科室）的目前所有在院患者。</w:t>
                  </w:r>
                </w:p>
              </w:tc>
            </w:tr>
            <w:tr>
              <w:tc>
                <w:tcPr>
                  <w:tcW w:type="dxa" w:w="378"/>
                  <w:vMerge/>
                  <w:tcBorders>
                    <w:top w:val="none" w:color="000000" w:sz="4"/>
                    <w:left w:val="single" w:color="000000" w:sz="4"/>
                    <w:bottom w:val="single" w:color="000000" w:sz="4"/>
                    <w:right w:val="single" w:color="000000" w:sz="4"/>
                  </w:tcBorders>
                </w:tcPr>
                <w:p/>
              </w:tc>
              <w:tc>
                <w:tcPr>
                  <w:tcW w:type="dxa" w:w="345"/>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展示患者列表，每位患者的信息以病人信息、床号、病案首页、病程记录、医嘱、检验、检查等基本信息进行展示：</w:t>
                  </w:r>
                </w:p>
              </w:tc>
            </w:tr>
            <w:tr>
              <w:tc>
                <w:tcPr>
                  <w:tcW w:type="dxa" w:w="378"/>
                  <w:vMerge/>
                  <w:tcBorders>
                    <w:top w:val="none" w:color="000000" w:sz="4"/>
                    <w:left w:val="single" w:color="000000" w:sz="4"/>
                    <w:bottom w:val="single" w:color="000000" w:sz="4"/>
                    <w:right w:val="single" w:color="000000" w:sz="4"/>
                  </w:tcBorders>
                </w:tcPr>
                <w:p/>
              </w:tc>
              <w:tc>
                <w:tcPr>
                  <w:tcW w:type="dxa" w:w="345"/>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医生通过搜索功能，输入患者姓名或住院号进行精确查找，快速找到患者，点击患者即可查看详细数据。</w:t>
                  </w:r>
                </w:p>
              </w:tc>
            </w:tr>
            <w:tr>
              <w:tc>
                <w:tcPr>
                  <w:tcW w:type="dxa" w:w="378"/>
                  <w:vMerge/>
                  <w:tcBorders>
                    <w:top w:val="none" w:color="000000" w:sz="4"/>
                    <w:left w:val="single" w:color="000000" w:sz="4"/>
                    <w:bottom w:val="single" w:color="000000" w:sz="4"/>
                    <w:right w:val="single" w:color="000000" w:sz="4"/>
                  </w:tcBorders>
                </w:tcPr>
                <w:p/>
              </w:tc>
              <w:tc>
                <w:tcPr>
                  <w:tcW w:type="dxa" w:w="345"/>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病程记录内容按照时间顺序排列。</w:t>
                  </w:r>
                </w:p>
              </w:tc>
            </w:tr>
            <w:tr>
              <w:tc>
                <w:tcPr>
                  <w:tcW w:type="dxa" w:w="378"/>
                  <w:vMerge/>
                  <w:tcBorders>
                    <w:top w:val="none" w:color="000000" w:sz="4"/>
                    <w:left w:val="single" w:color="000000" w:sz="4"/>
                    <w:bottom w:val="single" w:color="000000" w:sz="4"/>
                    <w:right w:val="single" w:color="000000" w:sz="4"/>
                  </w:tcBorders>
                </w:tcPr>
                <w:p/>
              </w:tc>
              <w:tc>
                <w:tcPr>
                  <w:tcW w:type="dxa" w:w="345"/>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医嘱按照当前医嘱、临时医嘱、长期医嘱、全部医嘱标签进行管理。</w:t>
                  </w:r>
                </w:p>
              </w:tc>
            </w:tr>
            <w:tr>
              <w:tc>
                <w:tcPr>
                  <w:tcW w:type="dxa" w:w="378"/>
                  <w:vMerge/>
                  <w:tcBorders>
                    <w:top w:val="none" w:color="000000" w:sz="4"/>
                    <w:left w:val="single" w:color="000000" w:sz="4"/>
                    <w:bottom w:val="single" w:color="000000" w:sz="4"/>
                    <w:right w:val="single" w:color="000000" w:sz="4"/>
                  </w:tcBorders>
                </w:tcPr>
                <w:p/>
              </w:tc>
              <w:tc>
                <w:tcPr>
                  <w:tcW w:type="dxa" w:w="345"/>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各项检验结果按照时间顺序进行排列。</w:t>
                  </w:r>
                </w:p>
              </w:tc>
            </w:tr>
            <w:tr>
              <w:tc>
                <w:tcPr>
                  <w:tcW w:type="dxa" w:w="378"/>
                  <w:vMerge/>
                  <w:tcBorders>
                    <w:top w:val="none" w:color="000000" w:sz="4"/>
                    <w:left w:val="single" w:color="000000" w:sz="4"/>
                    <w:bottom w:val="single" w:color="000000" w:sz="4"/>
                    <w:right w:val="single" w:color="000000" w:sz="4"/>
                  </w:tcBorders>
                </w:tcPr>
                <w:p/>
              </w:tc>
              <w:tc>
                <w:tcPr>
                  <w:tcW w:type="dxa" w:w="345"/>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检查结果默认显示文字结论。</w:t>
                  </w:r>
                </w:p>
              </w:tc>
            </w:tr>
            <w:tr>
              <w:tc>
                <w:tcPr>
                  <w:tcW w:type="dxa" w:w="378"/>
                  <w:vMerge/>
                  <w:tcBorders>
                    <w:top w:val="none" w:color="000000" w:sz="4"/>
                    <w:left w:val="single" w:color="000000" w:sz="4"/>
                    <w:bottom w:val="single" w:color="000000" w:sz="4"/>
                    <w:right w:val="single" w:color="000000" w:sz="4"/>
                  </w:tcBorders>
                </w:tcPr>
                <w:p/>
              </w:tc>
              <w:tc>
                <w:tcPr>
                  <w:tcW w:type="dxa" w:w="345"/>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实现医生查询患者基本信息，患者所在病区，患者费用使用情况等基本信息。</w:t>
                  </w:r>
                </w:p>
              </w:tc>
            </w:tr>
            <w:tr>
              <w:tc>
                <w:tcPr>
                  <w:tcW w:type="dxa" w:w="378"/>
                  <w:vMerge/>
                  <w:tcBorders>
                    <w:top w:val="none" w:color="000000" w:sz="4"/>
                    <w:left w:val="single" w:color="000000" w:sz="4"/>
                    <w:bottom w:val="single" w:color="000000" w:sz="4"/>
                    <w:right w:val="single" w:color="000000" w:sz="4"/>
                  </w:tcBorders>
                </w:tcPr>
                <w:p/>
              </w:tc>
              <w:tc>
                <w:tcPr>
                  <w:tcW w:type="dxa" w:w="345"/>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医生可选择查看患者的此次诊断详细信息、查看本患者历次诊断信息。历史诊断信息包括诊断描述，诊断类型及日期时间等信息。</w:t>
                  </w:r>
                </w:p>
              </w:tc>
            </w:tr>
            <w:tr>
              <w:tc>
                <w:tcPr>
                  <w:tcW w:type="dxa" w:w="378"/>
                  <w:vMerge/>
                  <w:tcBorders>
                    <w:top w:val="none" w:color="000000" w:sz="4"/>
                    <w:left w:val="single" w:color="000000" w:sz="4"/>
                    <w:bottom w:val="single" w:color="000000" w:sz="4"/>
                    <w:right w:val="single" w:color="000000" w:sz="4"/>
                  </w:tcBorders>
                </w:tcP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5.3其他患者</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默认显示非本科室，根据医院需求展示该账号医生参与过的会诊患者。</w:t>
                  </w:r>
                </w:p>
              </w:tc>
            </w:tr>
            <w:tr>
              <w:tc>
                <w:tcPr>
                  <w:tcW w:type="dxa" w:w="378"/>
                  <w:vMerge/>
                  <w:tcBorders>
                    <w:top w:val="none" w:color="000000" w:sz="4"/>
                    <w:left w:val="single" w:color="000000" w:sz="4"/>
                    <w:bottom w:val="single" w:color="000000" w:sz="4"/>
                    <w:right w:val="single" w:color="000000" w:sz="4"/>
                  </w:tcBorders>
                </w:tcPr>
                <w:p/>
              </w:tc>
              <w:tc>
                <w:tcPr>
                  <w:tcW w:type="dxa" w:w="34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5.4出院患者</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按照医院要求设置查看时间段内显示出院患者。</w:t>
                  </w:r>
                </w:p>
              </w:tc>
            </w:tr>
            <w:tr>
              <w:tc>
                <w:tcPr>
                  <w:tcW w:type="dxa" w:w="378"/>
                  <w:vMerge/>
                  <w:tcBorders>
                    <w:top w:val="none" w:color="000000" w:sz="4"/>
                    <w:left w:val="single" w:color="000000" w:sz="4"/>
                    <w:bottom w:val="single" w:color="000000" w:sz="4"/>
                    <w:right w:val="single" w:color="000000" w:sz="4"/>
                  </w:tcBorders>
                </w:tcPr>
                <w:p/>
              </w:tc>
              <w:tc>
                <w:tcPr>
                  <w:tcW w:type="dxa" w:w="345"/>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▲提供住院号或姓名查找功能，查找已出院的患者的信息。</w:t>
                  </w:r>
                </w:p>
              </w:tc>
            </w:tr>
            <w:tr>
              <w:tc>
                <w:tcPr>
                  <w:tcW w:type="dxa" w:w="3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6、接口</w:t>
                  </w:r>
                </w:p>
              </w:tc>
              <w:tc>
                <w:tcPr>
                  <w:tcW w:type="dxa" w:w="34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6.1接口</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与医院相关系统紧密无缝连接，能够自动获取患者基本信息、病历、医嘱、检验、检查等信息。</w:t>
                  </w:r>
                </w:p>
              </w:tc>
            </w:tr>
            <w:tr>
              <w:tc>
                <w:tcPr>
                  <w:tcW w:type="dxa" w:w="378"/>
                  <w:vMerge/>
                  <w:tcBorders>
                    <w:top w:val="none" w:color="000000" w:sz="4"/>
                    <w:left w:val="single" w:color="000000" w:sz="4"/>
                    <w:bottom w:val="single" w:color="000000" w:sz="4"/>
                    <w:right w:val="single" w:color="000000" w:sz="4"/>
                  </w:tcBorders>
                </w:tcPr>
                <w:p/>
              </w:tc>
              <w:tc>
                <w:tcPr>
                  <w:tcW w:type="dxa" w:w="345"/>
                  <w:vMerge/>
                  <w:tcBorders>
                    <w:top w:val="none" w:color="000000" w:sz="4"/>
                    <w:left w:val="none" w:color="000000" w:sz="4"/>
                    <w:bottom w:val="single" w:color="000000" w:sz="4"/>
                    <w:right w:val="single" w:color="000000" w:sz="4"/>
                  </w:tcBorders>
                </w:tc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w:t>
                  </w:r>
                  <w:r>
                    <w:rPr>
                      <w:rFonts w:ascii="仿宋_GB2312" w:hAnsi="仿宋_GB2312" w:cs="仿宋_GB2312" w:eastAsia="仿宋_GB2312"/>
                      <w:sz w:val="19"/>
                      <w:color w:val="000000"/>
                    </w:rPr>
                    <w:t>系统与医院业务系统对接，包括但不限于电子病历系统、</w:t>
                  </w:r>
                  <w:r>
                    <w:rPr>
                      <w:rFonts w:ascii="仿宋_GB2312" w:hAnsi="仿宋_GB2312" w:cs="仿宋_GB2312" w:eastAsia="仿宋_GB2312"/>
                      <w:sz w:val="19"/>
                      <w:color w:val="000000"/>
                    </w:rPr>
                    <w:t>HIS系统、集成平台、LIS系统、PACS系统、智慧护理、心电系统、病理系统、手麻系统</w:t>
                  </w:r>
                  <w:r>
                    <w:rPr>
                      <w:rFonts w:ascii="仿宋_GB2312" w:hAnsi="仿宋_GB2312" w:cs="仿宋_GB2312" w:eastAsia="仿宋_GB2312"/>
                      <w:sz w:val="19"/>
                      <w:color w:val="000000"/>
                    </w:rPr>
                    <w:t>、数字签名</w:t>
                  </w:r>
                  <w:r>
                    <w:rPr>
                      <w:rFonts w:ascii="仿宋_GB2312" w:hAnsi="仿宋_GB2312" w:cs="仿宋_GB2312" w:eastAsia="仿宋_GB2312"/>
                      <w:sz w:val="19"/>
                      <w:color w:val="000000"/>
                    </w:rPr>
                    <w:t>等。</w:t>
                  </w:r>
                  <w:r>
                    <w:rPr>
                      <w:rFonts w:ascii="仿宋_GB2312" w:hAnsi="仿宋_GB2312" w:cs="仿宋_GB2312" w:eastAsia="仿宋_GB2312"/>
                      <w:sz w:val="19"/>
                      <w:b/>
                    </w:rPr>
                    <w:t>（提供承诺书，格式自拟）</w:t>
                  </w:r>
                </w:p>
              </w:tc>
            </w:tr>
          </w:tbl>
          <w:p>
            <w:pPr>
              <w:pStyle w:val="null3"/>
              <w:jc w:val="both"/>
            </w:pPr>
            <w:r>
              <w:rPr>
                <w:rFonts w:ascii="仿宋_GB2312" w:hAnsi="仿宋_GB2312" w:cs="仿宋_GB2312" w:eastAsia="仿宋_GB2312"/>
                <w:b/>
              </w:rPr>
              <w:t>3.2.2.3服务要求</w:t>
            </w:r>
          </w:p>
          <w:p>
            <w:pPr>
              <w:pStyle w:val="null3"/>
              <w:ind w:firstLine="400"/>
              <w:jc w:val="both"/>
            </w:pPr>
            <w:r>
              <w:rPr>
                <w:rFonts w:ascii="仿宋_GB2312" w:hAnsi="仿宋_GB2312" w:cs="仿宋_GB2312" w:eastAsia="仿宋_GB2312"/>
              </w:rPr>
              <w:t>1、项目组织管理要求</w:t>
            </w:r>
          </w:p>
          <w:p>
            <w:pPr>
              <w:pStyle w:val="null3"/>
              <w:ind w:firstLine="400"/>
              <w:jc w:val="both"/>
            </w:pPr>
            <w:r>
              <w:rPr>
                <w:rFonts w:ascii="仿宋_GB2312" w:hAnsi="仿宋_GB2312" w:cs="仿宋_GB2312" w:eastAsia="仿宋_GB2312"/>
              </w:rPr>
              <w:t>1）供应商应充分考虑满足投标项目的建设要求，提出完整的项目管理、项目实施、项目培训、项目验收、售后服务方案。</w:t>
            </w:r>
          </w:p>
          <w:p>
            <w:pPr>
              <w:pStyle w:val="null3"/>
              <w:ind w:firstLine="400"/>
              <w:jc w:val="both"/>
            </w:pPr>
            <w:r>
              <w:rPr>
                <w:rFonts w:ascii="仿宋_GB2312" w:hAnsi="仿宋_GB2312" w:cs="仿宋_GB2312" w:eastAsia="仿宋_GB2312"/>
              </w:rPr>
              <w:t>2）供应商必须提供可靠的售后服务保障，保证提供长期、稳定的技术实现服务。</w:t>
            </w:r>
          </w:p>
          <w:p>
            <w:pPr>
              <w:pStyle w:val="null3"/>
              <w:ind w:firstLine="400"/>
              <w:jc w:val="both"/>
            </w:pPr>
            <w:r>
              <w:rPr>
                <w:rFonts w:ascii="仿宋_GB2312" w:hAnsi="仿宋_GB2312" w:cs="仿宋_GB2312" w:eastAsia="仿宋_GB2312"/>
              </w:rPr>
              <w:t>3）供应商应保证，在中华人民共和国境内使用投标技术、服务或其任何一部分时，不会产生因第三方提出侵犯其专利权、商标权或其它知识产权而引起的法律和经济纠纷。</w:t>
            </w:r>
          </w:p>
          <w:p>
            <w:pPr>
              <w:pStyle w:val="null3"/>
              <w:ind w:firstLine="400"/>
              <w:jc w:val="both"/>
            </w:pPr>
            <w:r>
              <w:rPr>
                <w:rFonts w:ascii="仿宋_GB2312" w:hAnsi="仿宋_GB2312" w:cs="仿宋_GB2312" w:eastAsia="仿宋_GB2312"/>
              </w:rPr>
              <w:t>4）满足多院区管理。</w:t>
            </w:r>
          </w:p>
          <w:p>
            <w:pPr>
              <w:pStyle w:val="null3"/>
              <w:ind w:firstLine="400"/>
              <w:jc w:val="both"/>
            </w:pPr>
            <w:r>
              <w:rPr>
                <w:rFonts w:ascii="仿宋_GB2312" w:hAnsi="仿宋_GB2312" w:cs="仿宋_GB2312" w:eastAsia="仿宋_GB2312"/>
              </w:rPr>
              <w:t>★</w:t>
            </w:r>
            <w:r>
              <w:rPr>
                <w:rFonts w:ascii="仿宋_GB2312" w:hAnsi="仿宋_GB2312" w:cs="仿宋_GB2312" w:eastAsia="仿宋_GB2312"/>
              </w:rPr>
              <w:t>5）供应商承诺按照国家信息安全等级保护三级认证要求建设。</w:t>
            </w:r>
            <w:r>
              <w:rPr>
                <w:rFonts w:ascii="仿宋_GB2312" w:hAnsi="仿宋_GB2312" w:cs="仿宋_GB2312" w:eastAsia="仿宋_GB2312"/>
                <w:b/>
              </w:rPr>
              <w:t>（提供承诺书，格式自拟）</w:t>
            </w:r>
          </w:p>
          <w:p>
            <w:pPr>
              <w:pStyle w:val="null3"/>
              <w:ind w:firstLine="400"/>
              <w:jc w:val="both"/>
            </w:pPr>
            <w:r>
              <w:rPr>
                <w:rFonts w:ascii="仿宋_GB2312" w:hAnsi="仿宋_GB2312" w:cs="仿宋_GB2312" w:eastAsia="仿宋_GB2312"/>
              </w:rPr>
              <w:t>★6）供应商按照商用密码应用安全性评估要求进行建设,维保期内免费配合医院完成商用密码应用安全性评估的改造工作。</w:t>
            </w:r>
            <w:r>
              <w:rPr>
                <w:rFonts w:ascii="仿宋_GB2312" w:hAnsi="仿宋_GB2312" w:cs="仿宋_GB2312" w:eastAsia="仿宋_GB2312"/>
                <w:b/>
              </w:rPr>
              <w:t>（提供承诺书，格式自拟）</w:t>
            </w:r>
          </w:p>
          <w:p>
            <w:pPr>
              <w:pStyle w:val="null3"/>
              <w:ind w:firstLine="400"/>
              <w:jc w:val="both"/>
            </w:pPr>
            <w:r>
              <w:rPr>
                <w:rFonts w:ascii="仿宋_GB2312" w:hAnsi="仿宋_GB2312" w:cs="仿宋_GB2312" w:eastAsia="仿宋_GB2312"/>
              </w:rPr>
              <w:t>★7）</w:t>
            </w:r>
            <w:r>
              <w:rPr>
                <w:rFonts w:ascii="仿宋_GB2312" w:hAnsi="仿宋_GB2312" w:cs="仿宋_GB2312" w:eastAsia="仿宋_GB2312"/>
              </w:rPr>
              <w:t>可以</w:t>
            </w:r>
            <w:r>
              <w:rPr>
                <w:rFonts w:ascii="仿宋_GB2312" w:hAnsi="仿宋_GB2312" w:cs="仿宋_GB2312" w:eastAsia="仿宋_GB2312"/>
              </w:rPr>
              <w:t>适配国产数据库和国产操作系统，可以在国产操作系统使用软件。</w:t>
            </w:r>
            <w:r>
              <w:rPr>
                <w:rFonts w:ascii="仿宋_GB2312" w:hAnsi="仿宋_GB2312" w:cs="仿宋_GB2312" w:eastAsia="仿宋_GB2312"/>
                <w:b/>
              </w:rPr>
              <w:t>（提供证明材料，格式自拟）</w:t>
            </w:r>
          </w:p>
          <w:p>
            <w:pPr>
              <w:pStyle w:val="null3"/>
              <w:ind w:firstLine="400"/>
              <w:jc w:val="both"/>
            </w:pPr>
            <w:r>
              <w:rPr>
                <w:rFonts w:ascii="仿宋_GB2312" w:hAnsi="仿宋_GB2312" w:cs="仿宋_GB2312" w:eastAsia="仿宋_GB2312"/>
              </w:rPr>
              <w:t>8）在建设期及维保期内，免费提供与上级机构和政策要求的对接接口开发服务。</w:t>
            </w:r>
          </w:p>
          <w:p>
            <w:pPr>
              <w:pStyle w:val="null3"/>
              <w:ind w:firstLine="400"/>
            </w:pPr>
            <w:r>
              <w:rPr>
                <w:rFonts w:ascii="仿宋_GB2312" w:hAnsi="仿宋_GB2312" w:cs="仿宋_GB2312" w:eastAsia="仿宋_GB2312"/>
              </w:rPr>
              <w:t>9）</w:t>
            </w:r>
            <w:r>
              <w:rPr>
                <w:rFonts w:ascii="仿宋_GB2312" w:hAnsi="仿宋_GB2312" w:cs="仿宋_GB2312" w:eastAsia="仿宋_GB2312"/>
              </w:rPr>
              <w:t>供应商应派遣具有同类项目成功实施经验的工程师负责软件开发实施与运维工作。在实施过程中如因供应商需更换实施人员，须提供书面说明，经医院同意后方可进行调换。</w:t>
            </w:r>
          </w:p>
          <w:p>
            <w:pPr>
              <w:pStyle w:val="null3"/>
              <w:ind w:firstLine="400"/>
              <w:jc w:val="both"/>
            </w:pPr>
            <w:r>
              <w:rPr>
                <w:rFonts w:ascii="仿宋_GB2312" w:hAnsi="仿宋_GB2312" w:cs="仿宋_GB2312" w:eastAsia="仿宋_GB2312"/>
              </w:rPr>
              <w:t>2、项目培训要求</w:t>
            </w:r>
          </w:p>
          <w:p>
            <w:pPr>
              <w:pStyle w:val="null3"/>
              <w:ind w:firstLine="400"/>
              <w:jc w:val="both"/>
            </w:pPr>
            <w:r>
              <w:rPr>
                <w:rFonts w:ascii="仿宋_GB2312" w:hAnsi="仿宋_GB2312" w:cs="仿宋_GB2312" w:eastAsia="仿宋_GB2312"/>
              </w:rPr>
              <w:t>供应商须提出详细的项目培训计划，具体如下：</w:t>
            </w:r>
          </w:p>
          <w:p>
            <w:pPr>
              <w:pStyle w:val="null3"/>
              <w:ind w:firstLine="400"/>
              <w:jc w:val="both"/>
            </w:pPr>
            <w:r>
              <w:rPr>
                <w:rFonts w:ascii="仿宋_GB2312" w:hAnsi="仿宋_GB2312" w:cs="仿宋_GB2312" w:eastAsia="仿宋_GB2312"/>
              </w:rPr>
              <w:t>1）对临床医生的培训计划。</w:t>
            </w:r>
          </w:p>
          <w:p>
            <w:pPr>
              <w:pStyle w:val="null3"/>
              <w:ind w:firstLine="400"/>
              <w:jc w:val="both"/>
            </w:pPr>
            <w:r>
              <w:rPr>
                <w:rFonts w:ascii="仿宋_GB2312" w:hAnsi="仿宋_GB2312" w:cs="仿宋_GB2312" w:eastAsia="仿宋_GB2312"/>
              </w:rPr>
              <w:t>2）培训课程安排、培训方式由供应商提供，时间、地点及场所由采购人提供。</w:t>
            </w:r>
          </w:p>
          <w:p>
            <w:pPr>
              <w:pStyle w:val="null3"/>
              <w:ind w:firstLine="400"/>
              <w:jc w:val="both"/>
            </w:pPr>
            <w:r>
              <w:rPr>
                <w:rFonts w:ascii="仿宋_GB2312" w:hAnsi="仿宋_GB2312" w:cs="仿宋_GB2312" w:eastAsia="仿宋_GB2312"/>
              </w:rPr>
              <w:t>3）提供系统操作培训：主要面向医生使用系统的人员，提供操作培训。</w:t>
            </w:r>
          </w:p>
          <w:p>
            <w:pPr>
              <w:pStyle w:val="null3"/>
              <w:ind w:firstLine="400"/>
              <w:jc w:val="both"/>
            </w:pPr>
            <w:r>
              <w:rPr>
                <w:rFonts w:ascii="仿宋_GB2312" w:hAnsi="仿宋_GB2312" w:cs="仿宋_GB2312" w:eastAsia="仿宋_GB2312"/>
              </w:rPr>
              <w:t>3、项目验收要求</w:t>
            </w:r>
          </w:p>
          <w:p>
            <w:pPr>
              <w:pStyle w:val="null3"/>
              <w:ind w:firstLine="400"/>
              <w:jc w:val="both"/>
            </w:pPr>
            <w:r>
              <w:rPr>
                <w:rFonts w:ascii="仿宋_GB2312" w:hAnsi="仿宋_GB2312" w:cs="仿宋_GB2312" w:eastAsia="仿宋_GB2312"/>
              </w:rPr>
              <w:t>项目的工作内容及成果文档的提交应覆盖以下内容，电子文档是成果不可分割的部分。</w:t>
            </w:r>
          </w:p>
          <w:p>
            <w:pPr>
              <w:pStyle w:val="null3"/>
              <w:ind w:firstLine="400"/>
              <w:jc w:val="both"/>
            </w:pPr>
            <w:r>
              <w:rPr>
                <w:rFonts w:ascii="仿宋_GB2312" w:hAnsi="仿宋_GB2312" w:cs="仿宋_GB2312" w:eastAsia="仿宋_GB2312"/>
              </w:rPr>
              <w:t>1）系统的体系架构及描述；</w:t>
            </w:r>
          </w:p>
          <w:p>
            <w:pPr>
              <w:pStyle w:val="null3"/>
              <w:ind w:firstLine="400"/>
              <w:jc w:val="both"/>
            </w:pPr>
            <w:r>
              <w:rPr>
                <w:rFonts w:ascii="仿宋_GB2312" w:hAnsi="仿宋_GB2312" w:cs="仿宋_GB2312" w:eastAsia="仿宋_GB2312"/>
              </w:rPr>
              <w:t>2）提供的其它技术手册，包括需求分析报告、系统实施报告、软件培训资料、软件使用操作手册、项目验收报告。</w:t>
            </w:r>
          </w:p>
          <w:p>
            <w:pPr>
              <w:pStyle w:val="null3"/>
              <w:ind w:firstLine="400"/>
              <w:jc w:val="both"/>
            </w:pPr>
            <w:r>
              <w:rPr>
                <w:rFonts w:ascii="仿宋_GB2312" w:hAnsi="仿宋_GB2312" w:cs="仿宋_GB2312" w:eastAsia="仿宋_GB2312"/>
              </w:rPr>
              <w:t>4项目售后服务要求</w:t>
            </w:r>
          </w:p>
          <w:p>
            <w:pPr>
              <w:pStyle w:val="null3"/>
              <w:ind w:firstLine="400"/>
              <w:jc w:val="both"/>
            </w:pPr>
            <w:r>
              <w:rPr>
                <w:rFonts w:ascii="仿宋_GB2312" w:hAnsi="仿宋_GB2312" w:cs="仿宋_GB2312" w:eastAsia="仿宋_GB2312"/>
              </w:rPr>
              <w:t>1）质保期要求：自</w:t>
            </w:r>
            <w:r>
              <w:rPr>
                <w:rFonts w:ascii="仿宋_GB2312" w:hAnsi="仿宋_GB2312" w:cs="仿宋_GB2312" w:eastAsia="仿宋_GB2312"/>
              </w:rPr>
              <w:t>验收</w:t>
            </w:r>
            <w:r>
              <w:rPr>
                <w:rFonts w:ascii="仿宋_GB2312" w:hAnsi="仿宋_GB2312" w:cs="仿宋_GB2312" w:eastAsia="仿宋_GB2312"/>
              </w:rPr>
              <w:t>合格后提供为期三年的服务。</w:t>
            </w:r>
          </w:p>
          <w:p>
            <w:pPr>
              <w:pStyle w:val="null3"/>
              <w:ind w:firstLine="400"/>
              <w:jc w:val="both"/>
            </w:pPr>
            <w:r>
              <w:rPr>
                <w:rFonts w:ascii="仿宋_GB2312" w:hAnsi="仿宋_GB2312" w:cs="仿宋_GB2312" w:eastAsia="仿宋_GB2312"/>
              </w:rPr>
              <w:t>2）供应商须根据本次招标文件所制定的目标和范围，提出相应的售后服务方案。</w:t>
            </w:r>
          </w:p>
          <w:p>
            <w:pPr>
              <w:pStyle w:val="null3"/>
              <w:ind w:firstLine="400"/>
              <w:jc w:val="both"/>
            </w:pPr>
            <w:r>
              <w:rPr>
                <w:rFonts w:ascii="仿宋_GB2312" w:hAnsi="仿宋_GB2312" w:cs="仿宋_GB2312" w:eastAsia="仿宋_GB2312"/>
              </w:rPr>
              <w:t>3）技术实现要求：供应商承诺项目验收后提供7*24小时售后技术服务。质保期内出现问题，1小时内做出明确响应和安排，</w:t>
            </w:r>
            <w:r>
              <w:rPr>
                <w:rFonts w:ascii="仿宋_GB2312" w:hAnsi="仿宋_GB2312" w:cs="仿宋_GB2312" w:eastAsia="仿宋_GB2312"/>
              </w:rPr>
              <w:t>6</w:t>
            </w:r>
            <w:r>
              <w:rPr>
                <w:rFonts w:ascii="仿宋_GB2312" w:hAnsi="仿宋_GB2312" w:cs="仿宋_GB2312" w:eastAsia="仿宋_GB2312"/>
              </w:rPr>
              <w:t>小时内到达现场，</w:t>
            </w:r>
            <w:r>
              <w:rPr>
                <w:rFonts w:ascii="仿宋_GB2312" w:hAnsi="仿宋_GB2312" w:cs="仿宋_GB2312" w:eastAsia="仿宋_GB2312"/>
              </w:rPr>
              <w:t>24小时内解决问题，提供不间断的服务直到系统正常运行；提供1名技术人员随时提供技术服务。</w:t>
            </w:r>
          </w:p>
          <w:p>
            <w:pPr>
              <w:pStyle w:val="null3"/>
              <w:ind w:firstLine="400"/>
              <w:jc w:val="both"/>
            </w:pPr>
            <w:r>
              <w:rPr>
                <w:rFonts w:ascii="仿宋_GB2312" w:hAnsi="仿宋_GB2312" w:cs="仿宋_GB2312" w:eastAsia="仿宋_GB2312"/>
              </w:rPr>
              <w:t>4）售后服务内容：包括免费升级、功能完善、故障排除、定期巡检、性能调优、技术咨询等，并负责系统的开发、处理、协调与各系统软件等生产厂商的关系。</w:t>
            </w:r>
          </w:p>
          <w:p>
            <w:pPr>
              <w:pStyle w:val="null3"/>
              <w:ind w:firstLine="400"/>
              <w:jc w:val="both"/>
            </w:pPr>
            <w:r>
              <w:rPr>
                <w:rFonts w:ascii="仿宋_GB2312" w:hAnsi="仿宋_GB2312" w:cs="仿宋_GB2312" w:eastAsia="仿宋_GB2312"/>
              </w:rPr>
              <w:t>5）质保期内提供售后服务。供应商须说明质保期外服务内容及收费标准，每年的维保费用不得超过合同总价的6%。</w:t>
            </w:r>
          </w:p>
          <w:p>
            <w:pPr>
              <w:pStyle w:val="null3"/>
              <w:ind w:firstLine="400"/>
              <w:jc w:val="both"/>
            </w:pPr>
            <w:r>
              <w:rPr>
                <w:rFonts w:ascii="仿宋_GB2312" w:hAnsi="仿宋_GB2312" w:cs="仿宋_GB2312" w:eastAsia="仿宋_GB2312"/>
                <w:b/>
              </w:rPr>
              <w:t>3.2.2.4其他要求</w:t>
            </w:r>
          </w:p>
          <w:p>
            <w:pPr>
              <w:pStyle w:val="null3"/>
              <w:ind w:firstLine="400"/>
              <w:jc w:val="both"/>
            </w:pPr>
            <w:r>
              <w:rPr>
                <w:rFonts w:ascii="仿宋_GB2312" w:hAnsi="仿宋_GB2312" w:cs="仿宋_GB2312" w:eastAsia="仿宋_GB2312"/>
              </w:rPr>
              <w:t>（</w:t>
            </w:r>
            <w:r>
              <w:rPr>
                <w:rFonts w:ascii="仿宋_GB2312" w:hAnsi="仿宋_GB2312" w:cs="仿宋_GB2312" w:eastAsia="仿宋_GB2312"/>
              </w:rPr>
              <w:t>1）本项目合同总价一次包死，不受市场价变化或实际工作量变化的影响，所有报价包含所有系统功能要求、质保、与各个业务系统的接口费用、税费、培训费、短信费、安装调试实施费用及其他不可预见的一切费用。</w:t>
            </w:r>
          </w:p>
          <w:p>
            <w:pPr>
              <w:pStyle w:val="null3"/>
              <w:ind w:firstLine="400"/>
              <w:jc w:val="both"/>
            </w:pPr>
            <w:r>
              <w:rPr>
                <w:rFonts w:ascii="仿宋_GB2312" w:hAnsi="仿宋_GB2312" w:cs="仿宋_GB2312" w:eastAsia="仿宋_GB2312"/>
              </w:rPr>
              <w:t>（</w:t>
            </w:r>
            <w:r>
              <w:rPr>
                <w:rFonts w:ascii="仿宋_GB2312" w:hAnsi="仿宋_GB2312" w:cs="仿宋_GB2312" w:eastAsia="仿宋_GB2312"/>
              </w:rPr>
              <w:t>2）投标产品具有系统著作权登记证书或知识产权证书或软件产品合法来源的证明。</w:t>
            </w:r>
          </w:p>
          <w:p>
            <w:pPr>
              <w:pStyle w:val="null3"/>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w:t>
            </w:r>
            <w:r>
              <w:rPr>
                <w:rFonts w:ascii="仿宋_GB2312" w:hAnsi="仿宋_GB2312" w:cs="仿宋_GB2312" w:eastAsia="仿宋_GB2312"/>
              </w:rPr>
              <w:t>1：</w:t>
            </w:r>
          </w:p>
          <w:p>
            <w:pPr>
              <w:pStyle w:val="null3"/>
            </w:pPr>
            <w:r>
              <w:rPr>
                <w:rFonts w:ascii="仿宋_GB2312" w:hAnsi="仿宋_GB2312" w:cs="仿宋_GB2312" w:eastAsia="仿宋_GB2312"/>
              </w:rPr>
              <w:t>详见</w:t>
            </w:r>
            <w:r>
              <w:rPr>
                <w:rFonts w:ascii="仿宋_GB2312" w:hAnsi="仿宋_GB2312" w:cs="仿宋_GB2312" w:eastAsia="仿宋_GB2312"/>
              </w:rPr>
              <w:t>3.2.2</w:t>
            </w:r>
          </w:p>
          <w:p>
            <w:pPr>
              <w:pStyle w:val="null3"/>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w:t>
            </w:r>
            <w:r>
              <w:rPr>
                <w:rFonts w:ascii="仿宋_GB2312" w:hAnsi="仿宋_GB2312" w:cs="仿宋_GB2312" w:eastAsia="仿宋_GB2312"/>
              </w:rPr>
              <w:t>1：</w:t>
            </w:r>
          </w:p>
          <w:p>
            <w:pPr>
              <w:pStyle w:val="null3"/>
            </w:pPr>
            <w:r>
              <w:rPr>
                <w:rFonts w:ascii="仿宋_GB2312" w:hAnsi="仿宋_GB2312" w:cs="仿宋_GB2312" w:eastAsia="仿宋_GB2312"/>
              </w:rPr>
              <w:t>详见</w:t>
            </w:r>
            <w:r>
              <w:rPr>
                <w:rFonts w:ascii="仿宋_GB2312" w:hAnsi="仿宋_GB2312" w:cs="仿宋_GB2312" w:eastAsia="仿宋_GB2312"/>
              </w:rPr>
              <w:t>3.2.2</w:t>
            </w:r>
          </w:p>
          <w:p>
            <w:pPr>
              <w:pStyle w:val="null3"/>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w:t>
            </w:r>
            <w:r>
              <w:rPr>
                <w:rFonts w:ascii="仿宋_GB2312" w:hAnsi="仿宋_GB2312" w:cs="仿宋_GB2312" w:eastAsia="仿宋_GB2312"/>
              </w:rPr>
              <w:t>1：</w:t>
            </w:r>
          </w:p>
          <w:p>
            <w:pPr>
              <w:pStyle w:val="null3"/>
            </w:pPr>
            <w:r>
              <w:rPr>
                <w:rFonts w:ascii="仿宋_GB2312" w:hAnsi="仿宋_GB2312" w:cs="仿宋_GB2312" w:eastAsia="仿宋_GB2312"/>
              </w:rPr>
              <w:t>详见</w:t>
            </w:r>
            <w:r>
              <w:rPr>
                <w:rFonts w:ascii="仿宋_GB2312" w:hAnsi="仿宋_GB2312" w:cs="仿宋_GB2312" w:eastAsia="仿宋_GB2312"/>
              </w:rPr>
              <w:t>3.2.2</w:t>
            </w:r>
          </w:p>
          <w:p>
            <w:pPr>
              <w:pStyle w:val="null3"/>
            </w:pPr>
            <w:r>
              <w:rPr>
                <w:rFonts w:ascii="仿宋_GB2312" w:hAnsi="仿宋_GB2312" w:cs="仿宋_GB2312" w:eastAsia="仿宋_GB2312"/>
              </w:rPr>
              <w:t>★</w:t>
            </w:r>
            <w:r>
              <w:rPr>
                <w:rFonts w:ascii="仿宋_GB2312" w:hAnsi="仿宋_GB2312" w:cs="仿宋_GB2312" w:eastAsia="仿宋_GB2312"/>
                <w:sz w:val="28"/>
                <w:b/>
              </w:rPr>
              <w:t>3.3商务要求</w:t>
            </w:r>
          </w:p>
          <w:p>
            <w:pPr>
              <w:pStyle w:val="nul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w:t>
            </w:r>
            <w:r>
              <w:rPr>
                <w:rFonts w:ascii="仿宋_GB2312" w:hAnsi="仿宋_GB2312" w:cs="仿宋_GB2312" w:eastAsia="仿宋_GB2312"/>
              </w:rPr>
              <w:t>1：</w:t>
            </w:r>
          </w:p>
          <w:p>
            <w:pPr>
              <w:pStyle w:val="null3"/>
            </w:pPr>
            <w:r>
              <w:rPr>
                <w:rFonts w:ascii="仿宋_GB2312" w:hAnsi="仿宋_GB2312" w:cs="仿宋_GB2312" w:eastAsia="仿宋_GB2312"/>
              </w:rPr>
              <w:t>自</w:t>
            </w:r>
            <w:r>
              <w:rPr>
                <w:rFonts w:ascii="仿宋_GB2312" w:hAnsi="仿宋_GB2312" w:cs="仿宋_GB2312" w:eastAsia="仿宋_GB2312"/>
              </w:rPr>
              <w:t>提交开工申请后</w:t>
            </w:r>
            <w:r>
              <w:rPr>
                <w:rFonts w:ascii="仿宋_GB2312" w:hAnsi="仿宋_GB2312" w:cs="仿宋_GB2312" w:eastAsia="仿宋_GB2312"/>
              </w:rPr>
              <w:t>8</w:t>
            </w:r>
            <w:r>
              <w:rPr>
                <w:rFonts w:ascii="仿宋_GB2312" w:hAnsi="仿宋_GB2312" w:cs="仿宋_GB2312" w:eastAsia="仿宋_GB2312"/>
              </w:rPr>
              <w:t>个月内完成系统开发和各类数据建设，</w:t>
            </w:r>
            <w:r>
              <w:rPr>
                <w:rFonts w:ascii="仿宋_GB2312" w:hAnsi="仿宋_GB2312" w:cs="仿宋_GB2312" w:eastAsia="仿宋_GB2312"/>
              </w:rPr>
              <w:t>三</w:t>
            </w:r>
            <w:r>
              <w:rPr>
                <w:rFonts w:ascii="仿宋_GB2312" w:hAnsi="仿宋_GB2312" w:cs="仿宋_GB2312" w:eastAsia="仿宋_GB2312"/>
              </w:rPr>
              <w:t>个月</w:t>
            </w:r>
            <w:r>
              <w:rPr>
                <w:rFonts w:ascii="仿宋_GB2312" w:hAnsi="仿宋_GB2312" w:cs="仿宋_GB2312" w:eastAsia="仿宋_GB2312"/>
              </w:rPr>
              <w:t>试运行且</w:t>
            </w:r>
            <w:r>
              <w:rPr>
                <w:rFonts w:ascii="仿宋_GB2312" w:hAnsi="仿宋_GB2312" w:cs="仿宋_GB2312" w:eastAsia="仿宋_GB2312"/>
              </w:rPr>
              <w:t>完成验收</w:t>
            </w:r>
            <w:r>
              <w:rPr>
                <w:rFonts w:ascii="仿宋_GB2312" w:hAnsi="仿宋_GB2312" w:cs="仿宋_GB2312" w:eastAsia="仿宋_GB2312"/>
              </w:rPr>
              <w:t>后交付采购人，自</w:t>
            </w:r>
            <w:r>
              <w:rPr>
                <w:rFonts w:ascii="仿宋_GB2312" w:hAnsi="仿宋_GB2312" w:cs="仿宋_GB2312" w:eastAsia="仿宋_GB2312"/>
              </w:rPr>
              <w:t>验收</w:t>
            </w:r>
            <w:r>
              <w:rPr>
                <w:rFonts w:ascii="仿宋_GB2312" w:hAnsi="仿宋_GB2312" w:cs="仿宋_GB2312" w:eastAsia="仿宋_GB2312"/>
              </w:rPr>
              <w:t>合格后提供为期三年的服务。</w:t>
            </w:r>
          </w:p>
          <w:p>
            <w:pPr>
              <w:pStyle w:val="nul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w:t>
            </w:r>
            <w:r>
              <w:rPr>
                <w:rFonts w:ascii="仿宋_GB2312" w:hAnsi="仿宋_GB2312" w:cs="仿宋_GB2312" w:eastAsia="仿宋_GB2312"/>
              </w:rPr>
              <w:t>1：</w:t>
            </w:r>
          </w:p>
          <w:p>
            <w:pPr>
              <w:pStyle w:val="null3"/>
            </w:pPr>
            <w:r>
              <w:rPr>
                <w:rFonts w:ascii="仿宋_GB2312" w:hAnsi="仿宋_GB2312" w:cs="仿宋_GB2312" w:eastAsia="仿宋_GB2312"/>
              </w:rPr>
              <w:t>西安市中医医院</w:t>
            </w:r>
            <w:r>
              <w:rPr>
                <w:rFonts w:ascii="仿宋_GB2312" w:hAnsi="仿宋_GB2312" w:cs="仿宋_GB2312" w:eastAsia="仿宋_GB2312"/>
              </w:rPr>
              <w:t>院本部、</w:t>
            </w:r>
            <w:r>
              <w:rPr>
                <w:rFonts w:ascii="仿宋_GB2312" w:hAnsi="仿宋_GB2312" w:cs="仿宋_GB2312" w:eastAsia="仿宋_GB2312"/>
              </w:rPr>
              <w:t>曲江院区、南院区</w:t>
            </w:r>
          </w:p>
          <w:p>
            <w:pPr>
              <w:pStyle w:val="nul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w:t>
            </w:r>
            <w:r>
              <w:rPr>
                <w:rFonts w:ascii="仿宋_GB2312" w:hAnsi="仿宋_GB2312" w:cs="仿宋_GB2312" w:eastAsia="仿宋_GB2312"/>
              </w:rPr>
              <w:t>1：</w:t>
            </w:r>
          </w:p>
          <w:p>
            <w:pPr>
              <w:pStyle w:val="null3"/>
            </w:pPr>
            <w:r>
              <w:rPr>
                <w:rFonts w:ascii="仿宋_GB2312" w:hAnsi="仿宋_GB2312" w:cs="仿宋_GB2312" w:eastAsia="仿宋_GB2312"/>
              </w:rPr>
              <w:t>详见合同约定</w:t>
            </w:r>
          </w:p>
          <w:p>
            <w:pPr>
              <w:pStyle w:val="nul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w:t>
            </w:r>
            <w:r>
              <w:rPr>
                <w:rFonts w:ascii="仿宋_GB2312" w:hAnsi="仿宋_GB2312" w:cs="仿宋_GB2312" w:eastAsia="仿宋_GB2312"/>
              </w:rPr>
              <w:t>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w:t>
            </w:r>
            <w:r>
              <w:rPr>
                <w:rFonts w:ascii="仿宋_GB2312" w:hAnsi="仿宋_GB2312" w:cs="仿宋_GB2312" w:eastAsia="仿宋_GB2312"/>
              </w:rPr>
              <w:t>1：</w:t>
            </w:r>
            <w:r>
              <w:rPr>
                <w:rFonts w:ascii="仿宋_GB2312" w:hAnsi="仿宋_GB2312" w:cs="仿宋_GB2312" w:eastAsia="仿宋_GB2312"/>
              </w:rPr>
              <w:t>合同签订后，达到付款条件起</w:t>
            </w:r>
            <w:r>
              <w:rPr>
                <w:rFonts w:ascii="仿宋_GB2312" w:hAnsi="仿宋_GB2312" w:cs="仿宋_GB2312" w:eastAsia="仿宋_GB2312"/>
              </w:rPr>
              <w:t>30日内，支付合同总金额的30.00%；中标方按照招标要求完成项目的建设(提交上线报告)且验收合格后，达到付款条件起30日内，支付合同总金额的60.00%；</w:t>
            </w:r>
            <w:r>
              <w:rPr>
                <w:rFonts w:ascii="仿宋_GB2312" w:hAnsi="仿宋_GB2312" w:cs="仿宋_GB2312" w:eastAsia="仿宋_GB2312"/>
              </w:rPr>
              <w:t>项目通过验收且正常运行</w:t>
            </w:r>
            <w:r>
              <w:rPr>
                <w:rFonts w:ascii="仿宋_GB2312" w:hAnsi="仿宋_GB2312" w:cs="仿宋_GB2312" w:eastAsia="仿宋_GB2312"/>
              </w:rPr>
              <w:t>质保期</w:t>
            </w:r>
            <w:r>
              <w:rPr>
                <w:rFonts w:ascii="仿宋_GB2312" w:hAnsi="仿宋_GB2312" w:cs="仿宋_GB2312" w:eastAsia="仿宋_GB2312"/>
              </w:rPr>
              <w:t>结束</w:t>
            </w:r>
            <w:r>
              <w:rPr>
                <w:rFonts w:ascii="仿宋_GB2312" w:hAnsi="仿宋_GB2312" w:cs="仿宋_GB2312" w:eastAsia="仿宋_GB2312"/>
              </w:rPr>
              <w:t>后，达到付款条件起</w:t>
            </w:r>
            <w:r>
              <w:rPr>
                <w:rFonts w:ascii="仿宋_GB2312" w:hAnsi="仿宋_GB2312" w:cs="仿宋_GB2312" w:eastAsia="仿宋_GB2312"/>
              </w:rPr>
              <w:t>30日内，支付合同总金额的</w:t>
            </w:r>
            <w:r>
              <w:rPr>
                <w:rFonts w:ascii="仿宋_GB2312" w:hAnsi="仿宋_GB2312" w:cs="仿宋_GB2312" w:eastAsia="仿宋_GB2312"/>
              </w:rPr>
              <w:t>10</w:t>
            </w:r>
            <w:r>
              <w:rPr>
                <w:rFonts w:ascii="仿宋_GB2312" w:hAnsi="仿宋_GB2312" w:cs="仿宋_GB2312" w:eastAsia="仿宋_GB2312"/>
              </w:rPr>
              <w:t>.00%。</w:t>
            </w:r>
          </w:p>
          <w:p>
            <w:pPr>
              <w:pStyle w:val="nul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w:t>
            </w:r>
            <w:r>
              <w:rPr>
                <w:rFonts w:ascii="仿宋_GB2312" w:hAnsi="仿宋_GB2312" w:cs="仿宋_GB2312" w:eastAsia="仿宋_GB2312"/>
              </w:rPr>
              <w:t>1：</w:t>
            </w:r>
          </w:p>
          <w:p>
            <w:pPr>
              <w:pStyle w:val="null3"/>
            </w:pPr>
            <w:r>
              <w:rPr>
                <w:rFonts w:ascii="仿宋_GB2312" w:hAnsi="仿宋_GB2312" w:cs="仿宋_GB2312" w:eastAsia="仿宋_GB2312"/>
              </w:rPr>
              <w:t>违约责任：（一）按《政府采购法》、《中华人民共和国民法典》中的相关条款执行。（二）未按合同要求提供货物、质保服务或质量不能满足招标文件技术要求，在约定的条件下，乙方必须无条件更换，提高技术，完善质量，提供质保服务，否则，甲方有权解除合同，解除合同书面通知书到达乙方之日视合同已解除，并按以下两种方式追究乙方的违约责任：</w:t>
            </w:r>
            <w:r>
              <w:rPr>
                <w:rFonts w:ascii="仿宋_GB2312" w:hAnsi="仿宋_GB2312" w:cs="仿宋_GB2312" w:eastAsia="仿宋_GB2312"/>
              </w:rPr>
              <w:t>1、乙方赔偿甲方解除合同的全部损失（包括但不限于重新采购产生的费用、合同未履行导致设备不能按规划交付使用可能产生的租赁费用及其它由此造成的甲方对第三方的违约损失）；2、乙方支付甲方违约金，违约金计算方法：以合同总价为基数，支付甲方合同总价的30%为违约金，同时，对乙方的违约行为报监管机构进行相应的处罚。合同争议解决的方式： 本合同在履行过程中发生的争议，由甲、乙双方当事人协商解决，协商不成的依法向甲方所在地人民法院起诉，按合同约定。</w:t>
            </w:r>
          </w:p>
          <w:p>
            <w:pPr>
              <w:pStyle w:val="null3"/>
            </w:pPr>
            <w:r>
              <w:rPr>
                <w:rFonts w:ascii="仿宋_GB2312" w:hAnsi="仿宋_GB2312" w:cs="仿宋_GB2312" w:eastAsia="仿宋_GB2312"/>
                <w:sz w:val="28"/>
                <w:b/>
              </w:rPr>
              <w:t>3.4其他要求</w:t>
            </w:r>
          </w:p>
          <w:p>
            <w:pPr>
              <w:pStyle w:val="null3"/>
              <w:jc w:val="both"/>
            </w:pPr>
            <w:r>
              <w:rPr>
                <w:rFonts w:ascii="仿宋_GB2312" w:hAnsi="仿宋_GB2312" w:cs="仿宋_GB2312" w:eastAsia="仿宋_GB2312"/>
                <w:sz w:val="21"/>
              </w:rPr>
              <w:t>无</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自提交开工申请后8个月内完成系统开发和各类数据建设，三个月试运行且完成验收后交付采购人，自验收合格后提供为期三年的服务。</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西安市中医医院院本部、曲江院区、南院区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中标方按照招标要求完成项目的建设（提交上线报告）且验收合格后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项目通过验收且正常运行质保期结束后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一）按《政府采购法》、《中华人民共和国民法典》中的相关条款执行。（二）未按合同要求提供货物、质保服务或质量不能满足招标文件技术要求，在约定的条件下，乙方必须无条件更换，提高技术，完善质量，提供质保服务，否则，甲方有权解除合同，解除合同书面通知书到达乙方之日视 合同已解除，并按以下两种方式追究乙方的违约责任：1、乙方赔偿甲方解除合同的全部损失（包括但不限于重新采购产生的费用、合同未履行导致设备不能按规划交付使用可能产生的租赁费用及其它由此造成的甲方对第三方的违约损失）；2、乙方支付甲方违约金，违约金计算方法：以合同总价为基数，支付甲方合同总价的30%为违约金，同时，对乙方的违约行为报监管机构进行相应的处罚。合同争议解决的方式： 本合同在履行过程中发生的争议，由甲、乙双方当事人协商解决，协商不成的依法向甲方所在地人民法院起诉，按合同约定。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1、提供注册登记凭证：营业执照、其他组织经营的合法凭证，自然人的提供身份证明文件。 2、具有良好的商业信誉和健全的财务会计制度：提供2024年度经审计财务报告（包括四表一注，即资产负债表、利润表、现金流量表、所有者权益变动表及其附注），且无反对意见；事业法人提供部门决算报告；/或在开标日期前3个月内其基本开户银行出具的资信证明（附《基本存款账户信息》或《银行开户许可证》复印件）；/或财政部门认可的政府采购专业担保机构出具的投标担保函/或表明具有良好的商业信誉和健全的财务会计制度的诚信声明；以上四种形式的资料提供任何一种即可。 3、具有履行合同所必需的设备和专业技术能力：提供声明文件。 4、具有依法缴纳税收的良好记录：提供缴费2025年1月1日以来已缴纳任意一个月份（投标截止时间当月不计入）的增值税（或企业所得税）缴费凭据或税务机关出具的完税证明/在法规范围内不需提供的应出具书面说明和证明文件/或具有依法缴纳税收的诚信声明。 5、具有依法缴纳社会保障资金的良好记录：提供缴费2025年1月1日以来已缴纳任意一个月份（投标截止时间当月不计入）的缴费凭据或社保机关出具的缴费证明/在法规范围内不需提供的应出具书面说明和证明文件/或具有依法缴纳社会保障资金的缴纳记录的诚信声明。 6、参加政府采购活动前3年内在经营活动中没有重大违法记录：提供参加政府采购活动前3年内在经营活动中没有重大违法记录的书面声明。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响应函 1593资格证明文件.docx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1）信用信息：供应商不得为“信用中国”网站（www.creditchina.gov.cn）列入失信被执行人、重大税收违法失信主体供应商，不得为“中国政府采购网”（www.ccgp.gov.cn）政府采购严重违法失信行为记录名单中的供应商。 （2）法定代表人（单位负责人）直接参加投标的，须出具法定代表人（单位负责人）证明书；法定代表人（单位负责人）授权代表参加投标的，还须出具法定代表人（单位负责人）授权书，同时提供磋商时间前连续三个月（不含磋商时间当月）供应商代表在本单位缴纳的社保记录。 （3）供应商非招标人单位职工及家属投资开办，其法人、股东和经营管理人员非招标人单位职工及家属。 （4）承诺书（投标单位与其他投标单位无交叉控股股东、无交叉兼任高级管理人员及涉嫌联合围标、串标行为，无采购单位和招标代理机构职工在本单位兼职的情况，不向采购单位和代理机构相关人员输送利益等行贿行为，一旦中标必须坚守诚信、认真履约等）。</w:t>
            </w:r>
          </w:p>
        </w:tc>
        <w:tc>
          <w:tcPr>
            <w:tcW w:type="dxa" w:w="1661"/>
          </w:tcPr>
          <w:p>
            <w:pPr>
              <w:pStyle w:val="null3"/>
            </w:pPr>
            <w:r>
              <w:rPr>
                <w:rFonts w:ascii="仿宋_GB2312" w:hAnsi="仿宋_GB2312" w:cs="仿宋_GB2312" w:eastAsia="仿宋_GB2312"/>
              </w:rPr>
              <w:t>响应函 1593资格证明文件.docx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1593分项报价表.docx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磋商响应文件的完整性审查</w:t>
            </w:r>
          </w:p>
        </w:tc>
        <w:tc>
          <w:tcPr>
            <w:tcW w:type="dxa" w:w="3322"/>
          </w:tcPr>
          <w:p>
            <w:pPr>
              <w:pStyle w:val="null3"/>
            </w:pPr>
            <w:r>
              <w:rPr>
                <w:rFonts w:ascii="仿宋_GB2312" w:hAnsi="仿宋_GB2312" w:cs="仿宋_GB2312" w:eastAsia="仿宋_GB2312"/>
              </w:rPr>
              <w:t>磋商响应文件是否按照磋商文件要求的格式编写。</w:t>
            </w:r>
          </w:p>
        </w:tc>
        <w:tc>
          <w:tcPr>
            <w:tcW w:type="dxa" w:w="1661"/>
          </w:tcPr>
          <w:p>
            <w:pPr>
              <w:pStyle w:val="null3"/>
            </w:pPr>
            <w:r>
              <w:rPr>
                <w:rFonts w:ascii="仿宋_GB2312" w:hAnsi="仿宋_GB2312" w:cs="仿宋_GB2312" w:eastAsia="仿宋_GB2312"/>
              </w:rPr>
              <w:t>响应文件封面 1593分项报价表.docx 1593响应方案说明书.docx 响应函 1593资格证明文件.docx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磋商响应文件的有效性审查</w:t>
            </w:r>
          </w:p>
        </w:tc>
        <w:tc>
          <w:tcPr>
            <w:tcW w:type="dxa" w:w="3322"/>
          </w:tcPr>
          <w:p>
            <w:pPr>
              <w:pStyle w:val="null3"/>
            </w:pPr>
            <w:r>
              <w:rPr>
                <w:rFonts w:ascii="仿宋_GB2312" w:hAnsi="仿宋_GB2312" w:cs="仿宋_GB2312" w:eastAsia="仿宋_GB2312"/>
              </w:rPr>
              <w:t>磋商响应文件的签署、加盖印章是否有效。</w:t>
            </w:r>
          </w:p>
        </w:tc>
        <w:tc>
          <w:tcPr>
            <w:tcW w:type="dxa" w:w="1661"/>
          </w:tcPr>
          <w:p>
            <w:pPr>
              <w:pStyle w:val="null3"/>
            </w:pPr>
            <w:r>
              <w:rPr>
                <w:rFonts w:ascii="仿宋_GB2312" w:hAnsi="仿宋_GB2312" w:cs="仿宋_GB2312" w:eastAsia="仿宋_GB2312"/>
              </w:rPr>
              <w:t>响应文件封面 1593响应方案说明书.docx 1593分项报价表.docx 响应函 1593资格证明文件.docx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磋商响应文件的响应性审查</w:t>
            </w:r>
          </w:p>
        </w:tc>
        <w:tc>
          <w:tcPr>
            <w:tcW w:type="dxa" w:w="3322"/>
          </w:tcPr>
          <w:p>
            <w:pPr>
              <w:pStyle w:val="null3"/>
            </w:pPr>
            <w:r>
              <w:rPr>
                <w:rFonts w:ascii="仿宋_GB2312" w:hAnsi="仿宋_GB2312" w:cs="仿宋_GB2312" w:eastAsia="仿宋_GB2312"/>
              </w:rPr>
              <w:t>磋商报价是否超过采购预算（或最高限价）；磋商报价有效期是否符合磋商文件的要求；是否响应实质性条款。</w:t>
            </w:r>
          </w:p>
        </w:tc>
        <w:tc>
          <w:tcPr>
            <w:tcW w:type="dxa" w:w="1661"/>
          </w:tcPr>
          <w:p>
            <w:pPr>
              <w:pStyle w:val="null3"/>
            </w:pPr>
            <w:r>
              <w:rPr>
                <w:rFonts w:ascii="仿宋_GB2312" w:hAnsi="仿宋_GB2312" w:cs="仿宋_GB2312" w:eastAsia="仿宋_GB2312"/>
              </w:rPr>
              <w:t>响应文件封面 1593分项报价表.docx 1593响应方案说明书.docx 中小企业声明函 响应函 1593资格证明文件.docx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供应商应结合采购方项目建设总体目标及以往同类项目实施经验，编制整体服务方案，从业务需求分析、技术架构、功能分析、总体设计方案、流程设定、接口规范、数据规范等各方面提出项目建设整体解决方案和配套计划，包括：①项目组织；②实施计划和实施步骤；③过程和进度管理；④应急处置措施；⑤测试方案及项目验收。 完全满足采购需求并符合本项目实施特点的得10分；缺一个模块扣2分；每个模块中内容存在缺陷的，扣1分，扣完为止。 【说明：内容存在缺陷是指：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1593响应方案说明书.docx</w:t>
            </w:r>
          </w:p>
        </w:tc>
      </w:tr>
      <w:tr>
        <w:tc>
          <w:tcPr>
            <w:tcW w:type="dxa" w:w="831"/>
            <w:vMerge/>
          </w:tcPr>
          <w:p/>
        </w:tc>
        <w:tc>
          <w:tcPr>
            <w:tcW w:type="dxa" w:w="1661"/>
          </w:tcPr>
          <w:p>
            <w:pPr>
              <w:pStyle w:val="null3"/>
            </w:pPr>
            <w:r>
              <w:rPr>
                <w:rFonts w:ascii="仿宋_GB2312" w:hAnsi="仿宋_GB2312" w:cs="仿宋_GB2312" w:eastAsia="仿宋_GB2312"/>
              </w:rPr>
              <w:t>功能参数响应</w:t>
            </w:r>
          </w:p>
        </w:tc>
        <w:tc>
          <w:tcPr>
            <w:tcW w:type="dxa" w:w="2492"/>
          </w:tcPr>
          <w:p>
            <w:pPr>
              <w:pStyle w:val="null3"/>
            </w:pPr>
            <w:r>
              <w:rPr>
                <w:rFonts w:ascii="仿宋_GB2312" w:hAnsi="仿宋_GB2312" w:cs="仿宋_GB2312" w:eastAsia="仿宋_GB2312"/>
              </w:rPr>
              <w:t>针对“第三章”—“3.2.2.2系统详细功能参数”响应情况。“▲”功能参数每负偏离一项扣2分；其余功能参数每负偏离一项扣1分，扣完为止，不计负分。（“▲”功能参数必须提供功能截图，未提供或提供的截图不符合要求的不得分。其余功能参数以响应偏离表实际响应内容为准）</w:t>
            </w:r>
          </w:p>
        </w:tc>
        <w:tc>
          <w:tcPr>
            <w:tcW w:type="dxa" w:w="831"/>
          </w:tcPr>
          <w:p>
            <w:pPr>
              <w:pStyle w:val="null3"/>
              <w:jc w:val="right"/>
            </w:pPr>
            <w:r>
              <w:rPr>
                <w:rFonts w:ascii="仿宋_GB2312" w:hAnsi="仿宋_GB2312" w:cs="仿宋_GB2312" w:eastAsia="仿宋_GB2312"/>
              </w:rPr>
              <w:t>22.0000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1593分项报价表.docx</w:t>
            </w:r>
          </w:p>
          <w:p>
            <w:pPr>
              <w:pStyle w:val="null3"/>
            </w:pPr>
            <w:r>
              <w:rPr>
                <w:rFonts w:ascii="仿宋_GB2312" w:hAnsi="仿宋_GB2312" w:cs="仿宋_GB2312" w:eastAsia="仿宋_GB2312"/>
              </w:rPr>
              <w:t>1593响应方案说明书.docx</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系统功能演示（1）</w:t>
            </w:r>
          </w:p>
        </w:tc>
        <w:tc>
          <w:tcPr>
            <w:tcW w:type="dxa" w:w="2492"/>
          </w:tcPr>
          <w:p>
            <w:pPr>
              <w:pStyle w:val="null3"/>
            </w:pPr>
            <w:r>
              <w:rPr>
                <w:rFonts w:ascii="仿宋_GB2312" w:hAnsi="仿宋_GB2312" w:cs="仿宋_GB2312" w:eastAsia="仿宋_GB2312"/>
              </w:rPr>
              <w:t>实现后台管理对用户进行管理，包括鉴权和权限管理。满足得2分，否则不得分。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1593响应方案说明书.docx</w:t>
            </w:r>
          </w:p>
        </w:tc>
      </w:tr>
      <w:tr>
        <w:tc>
          <w:tcPr>
            <w:tcW w:type="dxa" w:w="831"/>
            <w:vMerge/>
          </w:tcPr>
          <w:p/>
        </w:tc>
        <w:tc>
          <w:tcPr>
            <w:tcW w:type="dxa" w:w="1661"/>
          </w:tcPr>
          <w:p>
            <w:pPr>
              <w:pStyle w:val="null3"/>
            </w:pPr>
            <w:r>
              <w:rPr>
                <w:rFonts w:ascii="仿宋_GB2312" w:hAnsi="仿宋_GB2312" w:cs="仿宋_GB2312" w:eastAsia="仿宋_GB2312"/>
              </w:rPr>
              <w:t>系统功能演示（2）</w:t>
            </w:r>
          </w:p>
        </w:tc>
        <w:tc>
          <w:tcPr>
            <w:tcW w:type="dxa" w:w="2492"/>
          </w:tcPr>
          <w:p>
            <w:pPr>
              <w:pStyle w:val="null3"/>
            </w:pPr>
            <w:r>
              <w:rPr>
                <w:rFonts w:ascii="仿宋_GB2312" w:hAnsi="仿宋_GB2312" w:cs="仿宋_GB2312" w:eastAsia="仿宋_GB2312"/>
              </w:rPr>
              <w:t>对密码强度复杂度进行验证，如要求字母+数字+特殊符号等。满足得2分，否则不得分。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1593响应方案说明书.docx</w:t>
            </w:r>
          </w:p>
        </w:tc>
      </w:tr>
      <w:tr>
        <w:tc>
          <w:tcPr>
            <w:tcW w:type="dxa" w:w="831"/>
            <w:vMerge/>
          </w:tcPr>
          <w:p/>
        </w:tc>
        <w:tc>
          <w:tcPr>
            <w:tcW w:type="dxa" w:w="1661"/>
          </w:tcPr>
          <w:p>
            <w:pPr>
              <w:pStyle w:val="null3"/>
            </w:pPr>
            <w:r>
              <w:rPr>
                <w:rFonts w:ascii="仿宋_GB2312" w:hAnsi="仿宋_GB2312" w:cs="仿宋_GB2312" w:eastAsia="仿宋_GB2312"/>
              </w:rPr>
              <w:t>系统功能演示（3）</w:t>
            </w:r>
          </w:p>
        </w:tc>
        <w:tc>
          <w:tcPr>
            <w:tcW w:type="dxa" w:w="2492"/>
          </w:tcPr>
          <w:p>
            <w:pPr>
              <w:pStyle w:val="null3"/>
            </w:pPr>
            <w:r>
              <w:rPr>
                <w:rFonts w:ascii="仿宋_GB2312" w:hAnsi="仿宋_GB2312" w:cs="仿宋_GB2312" w:eastAsia="仿宋_GB2312"/>
              </w:rPr>
              <w:t>实现查阅当前患者的历史门诊记录，包括患者基本信息、就诊卡号、挂号科室、挂号类型、看诊时间、看诊医生、诊断、处方等信息。满足得2分，否则不得分。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1593响应方案说明书.docx</w:t>
            </w:r>
          </w:p>
        </w:tc>
      </w:tr>
      <w:tr>
        <w:tc>
          <w:tcPr>
            <w:tcW w:type="dxa" w:w="831"/>
            <w:vMerge/>
          </w:tcPr>
          <w:p/>
        </w:tc>
        <w:tc>
          <w:tcPr>
            <w:tcW w:type="dxa" w:w="1661"/>
          </w:tcPr>
          <w:p>
            <w:pPr>
              <w:pStyle w:val="null3"/>
            </w:pPr>
            <w:r>
              <w:rPr>
                <w:rFonts w:ascii="仿宋_GB2312" w:hAnsi="仿宋_GB2312" w:cs="仿宋_GB2312" w:eastAsia="仿宋_GB2312"/>
              </w:rPr>
              <w:t>系统功能演示（4）</w:t>
            </w:r>
          </w:p>
        </w:tc>
        <w:tc>
          <w:tcPr>
            <w:tcW w:type="dxa" w:w="2492"/>
          </w:tcPr>
          <w:p>
            <w:pPr>
              <w:pStyle w:val="null3"/>
            </w:pPr>
            <w:r>
              <w:rPr>
                <w:rFonts w:ascii="仿宋_GB2312" w:hAnsi="仿宋_GB2312" w:cs="仿宋_GB2312" w:eastAsia="仿宋_GB2312"/>
              </w:rPr>
              <w:t>实现查阅当前患者的历史住院记录，包括患者基本信息、住院号、病案号、入院天数、护理级别、入院日期、住院科室、病区床号、住院医师、责任护士、入院诊断等。满足得2分，否则不得分。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1593响应方案说明书.docx</w:t>
            </w:r>
          </w:p>
        </w:tc>
      </w:tr>
      <w:tr>
        <w:tc>
          <w:tcPr>
            <w:tcW w:type="dxa" w:w="831"/>
            <w:vMerge/>
          </w:tcPr>
          <w:p/>
        </w:tc>
        <w:tc>
          <w:tcPr>
            <w:tcW w:type="dxa" w:w="1661"/>
          </w:tcPr>
          <w:p>
            <w:pPr>
              <w:pStyle w:val="null3"/>
            </w:pPr>
            <w:r>
              <w:rPr>
                <w:rFonts w:ascii="仿宋_GB2312" w:hAnsi="仿宋_GB2312" w:cs="仿宋_GB2312" w:eastAsia="仿宋_GB2312"/>
              </w:rPr>
              <w:t>系统功能演示（5）</w:t>
            </w:r>
          </w:p>
        </w:tc>
        <w:tc>
          <w:tcPr>
            <w:tcW w:type="dxa" w:w="2492"/>
          </w:tcPr>
          <w:p>
            <w:pPr>
              <w:pStyle w:val="null3"/>
            </w:pPr>
            <w:r>
              <w:rPr>
                <w:rFonts w:ascii="仿宋_GB2312" w:hAnsi="仿宋_GB2312" w:cs="仿宋_GB2312" w:eastAsia="仿宋_GB2312"/>
              </w:rPr>
              <w:t>实现查阅当前患者的住院费用，包括总费用、预交款、医保类型以及详细的费用明细（按照核算项目展示，如西药费、成药费、检查费等）。满足得2分，否则不得分。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1593响应方案说明书.docx</w:t>
            </w:r>
          </w:p>
        </w:tc>
      </w:tr>
      <w:tr>
        <w:tc>
          <w:tcPr>
            <w:tcW w:type="dxa" w:w="831"/>
            <w:vMerge/>
          </w:tcPr>
          <w:p/>
        </w:tc>
        <w:tc>
          <w:tcPr>
            <w:tcW w:type="dxa" w:w="1661"/>
          </w:tcPr>
          <w:p>
            <w:pPr>
              <w:pStyle w:val="null3"/>
            </w:pPr>
            <w:r>
              <w:rPr>
                <w:rFonts w:ascii="仿宋_GB2312" w:hAnsi="仿宋_GB2312" w:cs="仿宋_GB2312" w:eastAsia="仿宋_GB2312"/>
              </w:rPr>
              <w:t>系统功能演示（6）</w:t>
            </w:r>
          </w:p>
        </w:tc>
        <w:tc>
          <w:tcPr>
            <w:tcW w:type="dxa" w:w="2492"/>
          </w:tcPr>
          <w:p>
            <w:pPr>
              <w:pStyle w:val="null3"/>
            </w:pPr>
            <w:r>
              <w:rPr>
                <w:rFonts w:ascii="仿宋_GB2312" w:hAnsi="仿宋_GB2312" w:cs="仿宋_GB2312" w:eastAsia="仿宋_GB2312"/>
              </w:rPr>
              <w:t>实现长期医嘱、临时医嘱之间进行页面切换。满足得2分，否则不得分。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1593响应方案说明书.docx</w:t>
            </w:r>
          </w:p>
        </w:tc>
      </w:tr>
      <w:tr>
        <w:tc>
          <w:tcPr>
            <w:tcW w:type="dxa" w:w="831"/>
            <w:vMerge/>
          </w:tcPr>
          <w:p/>
        </w:tc>
        <w:tc>
          <w:tcPr>
            <w:tcW w:type="dxa" w:w="1661"/>
          </w:tcPr>
          <w:p>
            <w:pPr>
              <w:pStyle w:val="null3"/>
            </w:pPr>
            <w:r>
              <w:rPr>
                <w:rFonts w:ascii="仿宋_GB2312" w:hAnsi="仿宋_GB2312" w:cs="仿宋_GB2312" w:eastAsia="仿宋_GB2312"/>
              </w:rPr>
              <w:t>系统功能演示（7）</w:t>
            </w:r>
          </w:p>
        </w:tc>
        <w:tc>
          <w:tcPr>
            <w:tcW w:type="dxa" w:w="2492"/>
          </w:tcPr>
          <w:p>
            <w:pPr>
              <w:pStyle w:val="null3"/>
            </w:pPr>
            <w:r>
              <w:rPr>
                <w:rFonts w:ascii="仿宋_GB2312" w:hAnsi="仿宋_GB2312" w:cs="仿宋_GB2312" w:eastAsia="仿宋_GB2312"/>
              </w:rPr>
              <w:t>有异常指标的检验项目用特殊标记进行提醒，查看患者的检验异常数据。满足得2分，否则不得分。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1593响应方案说明书.docx</w:t>
            </w:r>
          </w:p>
        </w:tc>
      </w:tr>
      <w:tr>
        <w:tc>
          <w:tcPr>
            <w:tcW w:type="dxa" w:w="831"/>
            <w:vMerge/>
          </w:tcPr>
          <w:p/>
        </w:tc>
        <w:tc>
          <w:tcPr>
            <w:tcW w:type="dxa" w:w="1661"/>
          </w:tcPr>
          <w:p>
            <w:pPr>
              <w:pStyle w:val="null3"/>
            </w:pPr>
            <w:r>
              <w:rPr>
                <w:rFonts w:ascii="仿宋_GB2312" w:hAnsi="仿宋_GB2312" w:cs="仿宋_GB2312" w:eastAsia="仿宋_GB2312"/>
              </w:rPr>
              <w:t>系统功能演示（8）</w:t>
            </w:r>
          </w:p>
        </w:tc>
        <w:tc>
          <w:tcPr>
            <w:tcW w:type="dxa" w:w="2492"/>
          </w:tcPr>
          <w:p>
            <w:pPr>
              <w:pStyle w:val="null3"/>
            </w:pPr>
            <w:r>
              <w:rPr>
                <w:rFonts w:ascii="仿宋_GB2312" w:hAnsi="仿宋_GB2312" w:cs="仿宋_GB2312" w:eastAsia="仿宋_GB2312"/>
              </w:rPr>
              <w:t>点击检查列表中某条数据，实现医生查看此次结果的详情，详情包括检查的基本信息、检查所见、检查详情以及诊断意见等。满足得2分，否则不得分。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1593响应方案说明书.docx</w:t>
            </w:r>
          </w:p>
        </w:tc>
      </w:tr>
      <w:tr>
        <w:tc>
          <w:tcPr>
            <w:tcW w:type="dxa" w:w="831"/>
            <w:vMerge/>
          </w:tcPr>
          <w:p/>
        </w:tc>
        <w:tc>
          <w:tcPr>
            <w:tcW w:type="dxa" w:w="1661"/>
          </w:tcPr>
          <w:p>
            <w:pPr>
              <w:pStyle w:val="null3"/>
            </w:pPr>
            <w:r>
              <w:rPr>
                <w:rFonts w:ascii="仿宋_GB2312" w:hAnsi="仿宋_GB2312" w:cs="仿宋_GB2312" w:eastAsia="仿宋_GB2312"/>
              </w:rPr>
              <w:t>系统功能演示（9）</w:t>
            </w:r>
          </w:p>
        </w:tc>
        <w:tc>
          <w:tcPr>
            <w:tcW w:type="dxa" w:w="2492"/>
          </w:tcPr>
          <w:p>
            <w:pPr>
              <w:pStyle w:val="null3"/>
            </w:pPr>
            <w:r>
              <w:rPr>
                <w:rFonts w:ascii="仿宋_GB2312" w:hAnsi="仿宋_GB2312" w:cs="仿宋_GB2312" w:eastAsia="仿宋_GB2312"/>
              </w:rPr>
              <w:t>实现显示患者生命体征，默认显示当前患者全部的生命体征趋势图，趋势图中显示所选时间范围内的生命体征。满足得2分，否则不得分。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1593响应方案说明书.docx</w:t>
            </w:r>
          </w:p>
        </w:tc>
      </w:tr>
      <w:tr>
        <w:tc>
          <w:tcPr>
            <w:tcW w:type="dxa" w:w="831"/>
            <w:vMerge/>
          </w:tcPr>
          <w:p/>
        </w:tc>
        <w:tc>
          <w:tcPr>
            <w:tcW w:type="dxa" w:w="1661"/>
          </w:tcPr>
          <w:p>
            <w:pPr>
              <w:pStyle w:val="null3"/>
            </w:pPr>
            <w:r>
              <w:rPr>
                <w:rFonts w:ascii="仿宋_GB2312" w:hAnsi="仿宋_GB2312" w:cs="仿宋_GB2312" w:eastAsia="仿宋_GB2312"/>
              </w:rPr>
              <w:t>系统功能演示（10）</w:t>
            </w:r>
          </w:p>
        </w:tc>
        <w:tc>
          <w:tcPr>
            <w:tcW w:type="dxa" w:w="2492"/>
          </w:tcPr>
          <w:p>
            <w:pPr>
              <w:pStyle w:val="null3"/>
            </w:pPr>
            <w:r>
              <w:rPr>
                <w:rFonts w:ascii="仿宋_GB2312" w:hAnsi="仿宋_GB2312" w:cs="仿宋_GB2312" w:eastAsia="仿宋_GB2312"/>
              </w:rPr>
              <w:t>实现收藏患者功能，医生对特殊患者或需要频繁查看患者信息时，选择收藏进行重点关注。满足得2分，否则不得分。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1593响应方案说明书.docx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供应商针对本项目编制完善的质量保证措施，包括：①产品质量保证；②工期实施进度保证；③服务团队保证；④测试环节质量、调优措施保证。 完全满足采购需求并符合本项目实施特点的得4分；缺一个模块扣1分；每个模块中内容存在缺陷的，扣0.5分，扣完为止。 【说明：内容存在缺陷是指：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1593响应方案说明书.docx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编制详细的售后服务方案，包括：①售后服务体系流程；②服务内容&lt;系统的免费升级、功能完善、故障排除、定期巡检、性能调优、技术咨询，并负责系统的开发、处理、协调与各系统软件等生产厂商的关系&gt;；③响应时间；④服务网点。 完全满足采购需求并符合本项目实施特点的得4分；缺一个模块扣1分；每个模块中内容存在缺陷的，扣0.5分，扣完为止。 【说明：内容存在缺陷是指：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1593响应方案说明书.docx</w:t>
            </w:r>
          </w:p>
        </w:tc>
      </w:tr>
      <w:tr>
        <w:tc>
          <w:tcPr>
            <w:tcW w:type="dxa" w:w="831"/>
            <w:vMerge/>
          </w:tcPr>
          <w:p/>
        </w:tc>
        <w:tc>
          <w:tcPr>
            <w:tcW w:type="dxa" w:w="1661"/>
          </w:tcPr>
          <w:p>
            <w:pPr>
              <w:pStyle w:val="null3"/>
            </w:pPr>
            <w:r>
              <w:rPr>
                <w:rFonts w:ascii="仿宋_GB2312" w:hAnsi="仿宋_GB2312" w:cs="仿宋_GB2312" w:eastAsia="仿宋_GB2312"/>
              </w:rPr>
              <w:t>技术培训方案</w:t>
            </w:r>
          </w:p>
        </w:tc>
        <w:tc>
          <w:tcPr>
            <w:tcW w:type="dxa" w:w="2492"/>
          </w:tcPr>
          <w:p>
            <w:pPr>
              <w:pStyle w:val="null3"/>
            </w:pPr>
            <w:r>
              <w:rPr>
                <w:rFonts w:ascii="仿宋_GB2312" w:hAnsi="仿宋_GB2312" w:cs="仿宋_GB2312" w:eastAsia="仿宋_GB2312"/>
              </w:rPr>
              <w:t>针对本项目，编制技术培训方案，包括：①对临床医生的培训计划；②培训课程安排（培训方式由生产厂商提供，时间、地点及场所由采购人提供）；③提供系统操作培训（主要面向医生使用系统的人员，提供操作培训）。 完全满足采购需求并符合本项目实施特点的得3分；缺一个模块扣1分；每个模块中内容存在缺陷的，扣0.5分，扣完为止。 【说明：内容存在缺陷是指：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1593响应方案说明书.docx</w:t>
            </w:r>
          </w:p>
        </w:tc>
      </w:tr>
      <w:tr>
        <w:tc>
          <w:tcPr>
            <w:tcW w:type="dxa" w:w="831"/>
            <w:vMerge/>
          </w:tcPr>
          <w:p/>
        </w:tc>
        <w:tc>
          <w:tcPr>
            <w:tcW w:type="dxa" w:w="1661"/>
          </w:tcPr>
          <w:p>
            <w:pPr>
              <w:pStyle w:val="null3"/>
            </w:pPr>
            <w:r>
              <w:rPr>
                <w:rFonts w:ascii="仿宋_GB2312" w:hAnsi="仿宋_GB2312" w:cs="仿宋_GB2312" w:eastAsia="仿宋_GB2312"/>
              </w:rPr>
              <w:t>质保服务（质保期延伸服务）</w:t>
            </w:r>
          </w:p>
        </w:tc>
        <w:tc>
          <w:tcPr>
            <w:tcW w:type="dxa" w:w="2492"/>
          </w:tcPr>
          <w:p>
            <w:pPr>
              <w:pStyle w:val="null3"/>
            </w:pPr>
            <w:r>
              <w:rPr>
                <w:rFonts w:ascii="仿宋_GB2312" w:hAnsi="仿宋_GB2312" w:cs="仿宋_GB2312" w:eastAsia="仿宋_GB2312"/>
              </w:rPr>
              <w:t>供应商在满足采购需求要求的“验收合格后质保期三年”的基础上，质保期每增加1年加1分，满分2分。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1593响应方案说明书.docx</w:t>
            </w:r>
          </w:p>
        </w:tc>
      </w:tr>
      <w:tr>
        <w:tc>
          <w:tcPr>
            <w:tcW w:type="dxa" w:w="831"/>
            <w:vMerge/>
          </w:tcPr>
          <w:p/>
        </w:tc>
        <w:tc>
          <w:tcPr>
            <w:tcW w:type="dxa" w:w="1661"/>
          </w:tcPr>
          <w:p>
            <w:pPr>
              <w:pStyle w:val="null3"/>
            </w:pPr>
            <w:r>
              <w:rPr>
                <w:rFonts w:ascii="仿宋_GB2312" w:hAnsi="仿宋_GB2312" w:cs="仿宋_GB2312" w:eastAsia="仿宋_GB2312"/>
              </w:rPr>
              <w:t>质保服务（质保期外维保）</w:t>
            </w:r>
          </w:p>
        </w:tc>
        <w:tc>
          <w:tcPr>
            <w:tcW w:type="dxa" w:w="2492"/>
          </w:tcPr>
          <w:p>
            <w:pPr>
              <w:pStyle w:val="null3"/>
            </w:pPr>
            <w:r>
              <w:rPr>
                <w:rFonts w:ascii="仿宋_GB2312" w:hAnsi="仿宋_GB2312" w:cs="仿宋_GB2312" w:eastAsia="仿宋_GB2312"/>
              </w:rPr>
              <w:t>供应商须说明质保期外服务内容及收费标准，每年的维保费用不得超过合同总价的6%（供应商须单独提供说明，格式自拟，未提供说明或提供的说明不符合要求的不得分）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1593响应方案说明书.docx</w:t>
            </w:r>
          </w:p>
        </w:tc>
      </w:tr>
      <w:tr>
        <w:tc>
          <w:tcPr>
            <w:tcW w:type="dxa" w:w="831"/>
            <w:vMerge/>
          </w:tcPr>
          <w:p/>
        </w:tc>
        <w:tc>
          <w:tcPr>
            <w:tcW w:type="dxa" w:w="1661"/>
          </w:tcPr>
          <w:p>
            <w:pPr>
              <w:pStyle w:val="null3"/>
            </w:pPr>
            <w:r>
              <w:rPr>
                <w:rFonts w:ascii="仿宋_GB2312" w:hAnsi="仿宋_GB2312" w:cs="仿宋_GB2312" w:eastAsia="仿宋_GB2312"/>
              </w:rPr>
              <w:t>知识产权</w:t>
            </w:r>
          </w:p>
        </w:tc>
        <w:tc>
          <w:tcPr>
            <w:tcW w:type="dxa" w:w="2492"/>
          </w:tcPr>
          <w:p>
            <w:pPr>
              <w:pStyle w:val="null3"/>
            </w:pPr>
            <w:r>
              <w:rPr>
                <w:rFonts w:ascii="仿宋_GB2312" w:hAnsi="仿宋_GB2312" w:cs="仿宋_GB2312" w:eastAsia="仿宋_GB2312"/>
              </w:rPr>
              <w:t>供应商具有掌上医疗移动查房系统的软件著作权证书，提供得3分（名称可不一致，功能模块与磋商文件保持一致）。</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1593响应方案说明书.docx</w:t>
            </w:r>
          </w:p>
        </w:tc>
      </w:tr>
      <w:tr>
        <w:tc>
          <w:tcPr>
            <w:tcW w:type="dxa" w:w="831"/>
            <w:vMerge/>
          </w:tcPr>
          <w:p/>
        </w:tc>
        <w:tc>
          <w:tcPr>
            <w:tcW w:type="dxa" w:w="1661"/>
          </w:tcPr>
          <w:p>
            <w:pPr>
              <w:pStyle w:val="null3"/>
            </w:pPr>
            <w:r>
              <w:rPr>
                <w:rFonts w:ascii="仿宋_GB2312" w:hAnsi="仿宋_GB2312" w:cs="仿宋_GB2312" w:eastAsia="仿宋_GB2312"/>
              </w:rPr>
              <w:t>供应商实力（1）</w:t>
            </w:r>
          </w:p>
        </w:tc>
        <w:tc>
          <w:tcPr>
            <w:tcW w:type="dxa" w:w="2492"/>
          </w:tcPr>
          <w:p>
            <w:pPr>
              <w:pStyle w:val="null3"/>
            </w:pPr>
            <w:r>
              <w:rPr>
                <w:rFonts w:ascii="仿宋_GB2312" w:hAnsi="仿宋_GB2312" w:cs="仿宋_GB2312" w:eastAsia="仿宋_GB2312"/>
              </w:rPr>
              <w:t>供应商具有有效的信息技术服务管理体系认证证书得2分。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1593响应方案说明书.docx</w:t>
            </w:r>
          </w:p>
        </w:tc>
      </w:tr>
      <w:tr>
        <w:tc>
          <w:tcPr>
            <w:tcW w:type="dxa" w:w="831"/>
            <w:vMerge/>
          </w:tcPr>
          <w:p/>
        </w:tc>
        <w:tc>
          <w:tcPr>
            <w:tcW w:type="dxa" w:w="1661"/>
          </w:tcPr>
          <w:p>
            <w:pPr>
              <w:pStyle w:val="null3"/>
            </w:pPr>
            <w:r>
              <w:rPr>
                <w:rFonts w:ascii="仿宋_GB2312" w:hAnsi="仿宋_GB2312" w:cs="仿宋_GB2312" w:eastAsia="仿宋_GB2312"/>
              </w:rPr>
              <w:t>供应商实力（2）</w:t>
            </w:r>
          </w:p>
        </w:tc>
        <w:tc>
          <w:tcPr>
            <w:tcW w:type="dxa" w:w="2492"/>
          </w:tcPr>
          <w:p>
            <w:pPr>
              <w:pStyle w:val="null3"/>
            </w:pPr>
            <w:r>
              <w:rPr>
                <w:rFonts w:ascii="仿宋_GB2312" w:hAnsi="仿宋_GB2312" w:cs="仿宋_GB2312" w:eastAsia="仿宋_GB2312"/>
              </w:rPr>
              <w:t>供应商具有有效的信息安全管理体系认证证书得2分。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1593响应方案说明书.docx</w:t>
            </w:r>
          </w:p>
        </w:tc>
      </w:tr>
      <w:tr>
        <w:tc>
          <w:tcPr>
            <w:tcW w:type="dxa" w:w="831"/>
            <w:vMerge/>
          </w:tcPr>
          <w:p/>
        </w:tc>
        <w:tc>
          <w:tcPr>
            <w:tcW w:type="dxa" w:w="1661"/>
          </w:tcPr>
          <w:p>
            <w:pPr>
              <w:pStyle w:val="null3"/>
            </w:pPr>
            <w:r>
              <w:rPr>
                <w:rFonts w:ascii="仿宋_GB2312" w:hAnsi="仿宋_GB2312" w:cs="仿宋_GB2312" w:eastAsia="仿宋_GB2312"/>
              </w:rPr>
              <w:t>供应商实力（3）</w:t>
            </w:r>
          </w:p>
        </w:tc>
        <w:tc>
          <w:tcPr>
            <w:tcW w:type="dxa" w:w="2492"/>
          </w:tcPr>
          <w:p>
            <w:pPr>
              <w:pStyle w:val="null3"/>
            </w:pPr>
            <w:r>
              <w:rPr>
                <w:rFonts w:ascii="仿宋_GB2312" w:hAnsi="仿宋_GB2312" w:cs="仿宋_GB2312" w:eastAsia="仿宋_GB2312"/>
              </w:rPr>
              <w:t>供应商具有有效的隐私信息管理体系认证证书得2分。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1593响应方案说明书.docx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2022年10月至今，供应商承担的同类项目业绩案例（须提供与医院签订的完整合同复印件及验收报告），每提供一个案例得2分，最多得10分，缺少合同复印件和验收报告任意一项不得分。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1593响应方案说明书.docx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价格分采用低价优先法计算，即满足磋商文件要求且最终磋商报价最低的为评审基准价，其价格分为满分。其他供应商的价格分统一按照下列公式计算： 磋商报价得分=（评审基准价/最终有效磋商报价）×15</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详见附件：1593分项报价表.docx</w:t>
      </w:r>
    </w:p>
    <w:p>
      <w:pPr>
        <w:pStyle w:val="null3"/>
        <w:ind w:firstLine="960"/>
      </w:pPr>
      <w:r>
        <w:rPr>
          <w:rFonts w:ascii="仿宋_GB2312" w:hAnsi="仿宋_GB2312" w:cs="仿宋_GB2312" w:eastAsia="仿宋_GB2312"/>
        </w:rPr>
        <w:t>详见附件：1593资格证明文件.docx</w:t>
      </w:r>
    </w:p>
    <w:p>
      <w:pPr>
        <w:pStyle w:val="null3"/>
        <w:ind w:firstLine="960"/>
      </w:pPr>
      <w:r>
        <w:rPr>
          <w:rFonts w:ascii="仿宋_GB2312" w:hAnsi="仿宋_GB2312" w:cs="仿宋_GB2312" w:eastAsia="仿宋_GB2312"/>
        </w:rPr>
        <w:t>详见附件：1593响应方案说明书.docx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详见附件：1593+合同文本-改.docx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