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0D987">
      <w:pPr>
        <w:spacing w:line="640" w:lineRule="exact"/>
        <w:ind w:left="181" w:right="658"/>
        <w:jc w:val="center"/>
        <w:rPr>
          <w:rFonts w:ascii="仿宋_GB2312" w:hAnsi="仿宋_GB2312" w:eastAsia="仿宋_GB2312" w:cs="仿宋_GB2312"/>
          <w:b/>
          <w:sz w:val="52"/>
          <w:szCs w:val="52"/>
        </w:rPr>
      </w:pPr>
    </w:p>
    <w:p w14:paraId="0585D1D5">
      <w:pPr>
        <w:spacing w:line="640" w:lineRule="exact"/>
        <w:ind w:left="181" w:right="658"/>
        <w:jc w:val="center"/>
        <w:rPr>
          <w:rFonts w:ascii="仿宋_GB2312" w:hAnsi="仿宋_GB2312" w:eastAsia="仿宋_GB2312" w:cs="仿宋_GB2312"/>
          <w:b/>
          <w:sz w:val="52"/>
          <w:szCs w:val="52"/>
        </w:rPr>
      </w:pPr>
      <w:r>
        <w:rPr>
          <w:rFonts w:hint="eastAsia" w:ascii="仿宋_GB2312" w:hAnsi="仿宋_GB2312" w:eastAsia="仿宋_GB2312" w:cs="仿宋_GB2312"/>
          <w:b/>
          <w:sz w:val="52"/>
          <w:szCs w:val="52"/>
        </w:rPr>
        <w:t>西安市中医医院掌上</w:t>
      </w:r>
    </w:p>
    <w:p w14:paraId="79CF9E49">
      <w:pPr>
        <w:spacing w:line="640" w:lineRule="exact"/>
        <w:ind w:left="181" w:right="658"/>
        <w:jc w:val="center"/>
        <w:rPr>
          <w:rFonts w:ascii="仿宋_GB2312" w:hAnsi="仿宋_GB2312" w:eastAsia="仿宋_GB2312" w:cs="仿宋_GB2312"/>
          <w:b/>
          <w:sz w:val="52"/>
          <w:szCs w:val="52"/>
        </w:rPr>
      </w:pPr>
      <w:r>
        <w:rPr>
          <w:rFonts w:hint="eastAsia" w:ascii="仿宋_GB2312" w:hAnsi="仿宋_GB2312" w:eastAsia="仿宋_GB2312" w:cs="仿宋_GB2312"/>
          <w:b/>
          <w:sz w:val="52"/>
          <w:szCs w:val="52"/>
        </w:rPr>
        <w:t>医疗移动查房项目合同</w:t>
      </w:r>
    </w:p>
    <w:p w14:paraId="2CF8426B">
      <w:pPr>
        <w:spacing w:line="360" w:lineRule="auto"/>
        <w:ind w:firstLine="3300" w:firstLineChars="1100"/>
        <w:jc w:val="center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4B18CBED">
      <w:pPr>
        <w:spacing w:line="360" w:lineRule="auto"/>
        <w:ind w:firstLine="3300" w:firstLineChars="1100"/>
        <w:jc w:val="center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115420C3">
      <w:pPr>
        <w:spacing w:line="360" w:lineRule="auto"/>
        <w:ind w:firstLine="3300" w:firstLineChars="1100"/>
        <w:jc w:val="center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63798E43">
      <w:pPr>
        <w:pStyle w:val="2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49538DBC">
      <w:pPr>
        <w:pStyle w:val="2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257146A1">
      <w:pPr>
        <w:spacing w:line="360" w:lineRule="auto"/>
        <w:ind w:firstLine="3300" w:firstLineChars="1100"/>
        <w:jc w:val="center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05AF6675">
      <w:pPr>
        <w:spacing w:line="360" w:lineRule="auto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34FA536C">
      <w:pPr>
        <w:rPr>
          <w:rFonts w:ascii="仿宋_GB2312" w:hAnsi="仿宋_GB2312" w:eastAsia="仿宋_GB2312" w:cs="仿宋_GB2312"/>
          <w:w w:val="95"/>
        </w:rPr>
      </w:pPr>
    </w:p>
    <w:p w14:paraId="025F2391">
      <w:pPr>
        <w:pStyle w:val="3"/>
        <w:tabs>
          <w:tab w:val="left" w:pos="7261"/>
        </w:tabs>
        <w:spacing w:before="74"/>
        <w:ind w:left="0" w:firstLine="2137" w:firstLineChars="7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甲    方：</w:t>
      </w:r>
      <w:r>
        <w:rPr>
          <w:rFonts w:hint="eastAsia" w:ascii="仿宋_GB2312" w:hAnsi="仿宋_GB2312" w:eastAsia="仿宋_GB2312" w:cs="仿宋_GB2312"/>
          <w:sz w:val="32"/>
          <w:szCs w:val="32"/>
        </w:rPr>
        <w:t>西安市中医医院</w:t>
      </w:r>
    </w:p>
    <w:p w14:paraId="16E4102D">
      <w:pPr>
        <w:pStyle w:val="3"/>
        <w:tabs>
          <w:tab w:val="left" w:pos="7259"/>
        </w:tabs>
        <w:spacing w:before="74"/>
        <w:ind w:left="0" w:firstLine="2137" w:firstLineChars="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乙    方：</w:t>
      </w:r>
    </w:p>
    <w:p w14:paraId="464D3F0E">
      <w:pPr>
        <w:pStyle w:val="3"/>
        <w:tabs>
          <w:tab w:val="left" w:pos="7261"/>
        </w:tabs>
        <w:spacing w:before="74"/>
        <w:ind w:left="0" w:firstLine="2137" w:firstLineChars="700"/>
        <w:rPr>
          <w:rFonts w:ascii="仿宋_GB2312" w:hAnsi="仿宋_GB2312" w:eastAsia="仿宋_GB2312" w:cs="仿宋_GB2312"/>
          <w:w w:val="95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 xml:space="preserve">鉴 证 方： </w:t>
      </w:r>
    </w:p>
    <w:p w14:paraId="1C78C91D">
      <w:pPr>
        <w:rPr>
          <w:rFonts w:ascii="仿宋_GB2312" w:hAnsi="仿宋_GB2312" w:eastAsia="仿宋_GB2312" w:cs="仿宋_GB2312"/>
          <w:w w:val="95"/>
        </w:rPr>
      </w:pPr>
    </w:p>
    <w:p w14:paraId="60C82CE2">
      <w:pPr>
        <w:pStyle w:val="2"/>
        <w:rPr>
          <w:rFonts w:ascii="仿宋_GB2312" w:hAnsi="仿宋_GB2312" w:eastAsia="仿宋_GB2312" w:cs="仿宋_GB2312"/>
          <w:w w:val="95"/>
        </w:rPr>
      </w:pPr>
    </w:p>
    <w:p w14:paraId="7A6EC1A6">
      <w:pPr>
        <w:pStyle w:val="2"/>
        <w:rPr>
          <w:rFonts w:ascii="仿宋_GB2312" w:hAnsi="仿宋_GB2312" w:eastAsia="仿宋_GB2312" w:cs="仿宋_GB2312"/>
          <w:w w:val="95"/>
        </w:rPr>
      </w:pPr>
    </w:p>
    <w:p w14:paraId="0607FE8F">
      <w:pPr>
        <w:pStyle w:val="2"/>
        <w:rPr>
          <w:rFonts w:ascii="仿宋_GB2312" w:hAnsi="仿宋_GB2312" w:eastAsia="仿宋_GB2312" w:cs="仿宋_GB2312"/>
          <w:w w:val="95"/>
        </w:rPr>
      </w:pPr>
    </w:p>
    <w:p w14:paraId="7BBD7429">
      <w:pPr>
        <w:pStyle w:val="2"/>
        <w:rPr>
          <w:rFonts w:ascii="仿宋_GB2312" w:hAnsi="仿宋_GB2312" w:eastAsia="仿宋_GB2312" w:cs="仿宋_GB2312"/>
          <w:w w:val="95"/>
        </w:rPr>
      </w:pPr>
    </w:p>
    <w:p w14:paraId="2E1E3C49">
      <w:pPr>
        <w:pStyle w:val="2"/>
        <w:rPr>
          <w:rFonts w:ascii="仿宋_GB2312" w:hAnsi="仿宋_GB2312" w:eastAsia="仿宋_GB2312" w:cs="仿宋_GB2312"/>
          <w:w w:val="95"/>
        </w:rPr>
      </w:pPr>
    </w:p>
    <w:p w14:paraId="58FB8BDE">
      <w:pPr>
        <w:pStyle w:val="2"/>
        <w:rPr>
          <w:rFonts w:ascii="仿宋_GB2312" w:hAnsi="仿宋_GB2312" w:eastAsia="仿宋_GB2312" w:cs="仿宋_GB2312"/>
          <w:w w:val="95"/>
        </w:rPr>
      </w:pPr>
    </w:p>
    <w:p w14:paraId="4531AB33">
      <w:pPr>
        <w:pStyle w:val="2"/>
        <w:rPr>
          <w:rFonts w:ascii="仿宋_GB2312" w:hAnsi="仿宋_GB2312" w:eastAsia="仿宋_GB2312" w:cs="仿宋_GB2312"/>
          <w:w w:val="95"/>
        </w:rPr>
      </w:pPr>
    </w:p>
    <w:p w14:paraId="1D819E6B">
      <w:pPr>
        <w:pStyle w:val="2"/>
        <w:rPr>
          <w:rFonts w:ascii="仿宋_GB2312" w:hAnsi="仿宋_GB2312" w:eastAsia="仿宋_GB2312" w:cs="仿宋_GB2312"/>
          <w:w w:val="95"/>
        </w:rPr>
      </w:pPr>
    </w:p>
    <w:p w14:paraId="10A72F03">
      <w:pPr>
        <w:pStyle w:val="2"/>
        <w:rPr>
          <w:rFonts w:ascii="仿宋_GB2312" w:hAnsi="仿宋_GB2312" w:eastAsia="仿宋_GB2312" w:cs="仿宋_GB2312"/>
          <w:w w:val="95"/>
        </w:rPr>
      </w:pPr>
    </w:p>
    <w:p w14:paraId="78C34C25">
      <w:pPr>
        <w:pStyle w:val="2"/>
        <w:rPr>
          <w:rFonts w:ascii="仿宋_GB2312" w:hAnsi="仿宋_GB2312" w:eastAsia="仿宋_GB2312" w:cs="仿宋_GB2312"/>
          <w:w w:val="95"/>
        </w:rPr>
      </w:pPr>
    </w:p>
    <w:p w14:paraId="774D2146">
      <w:pPr>
        <w:spacing w:line="360" w:lineRule="auto"/>
        <w:ind w:firstLine="3300" w:firstLineChars="1100"/>
        <w:jc w:val="center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650261C1">
      <w:pPr>
        <w:spacing w:line="420" w:lineRule="exact"/>
        <w:ind w:firstLine="4200" w:firstLineChars="14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2025年 月</w:t>
      </w:r>
    </w:p>
    <w:p w14:paraId="276D1589">
      <w:pPr>
        <w:pStyle w:val="5"/>
        <w:ind w:left="1470" w:right="1470"/>
        <w:rPr>
          <w:rFonts w:ascii="仿宋_GB2312" w:hAnsi="仿宋_GB2312" w:eastAsia="仿宋_GB2312" w:cs="仿宋_GB2312"/>
        </w:rPr>
      </w:pPr>
    </w:p>
    <w:p w14:paraId="1EDFFC3E">
      <w:pPr>
        <w:spacing w:line="420" w:lineRule="exact"/>
        <w:ind w:firstLine="4200" w:firstLineChars="14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 西安</w:t>
      </w:r>
    </w:p>
    <w:p w14:paraId="11DC9757">
      <w:pPr>
        <w:pStyle w:val="4"/>
        <w:spacing w:before="66" w:line="453" w:lineRule="auto"/>
        <w:ind w:right="697"/>
        <w:rPr>
          <w:rFonts w:ascii="仿宋_GB2312" w:hAnsi="仿宋_GB2312" w:eastAsia="仿宋_GB2312" w:cs="仿宋_GB2312"/>
          <w:spacing w:val="-9"/>
          <w:lang w:val="en-US"/>
        </w:rPr>
      </w:pPr>
    </w:p>
    <w:p w14:paraId="42466DCD">
      <w:pPr>
        <w:spacing w:line="420" w:lineRule="exact"/>
        <w:rPr>
          <w:rFonts w:ascii="仿宋_GB2312" w:hAnsi="仿宋_GB2312" w:eastAsia="仿宋_GB2312" w:cs="仿宋_GB2312"/>
          <w:b/>
          <w:bCs/>
          <w:sz w:val="24"/>
        </w:rPr>
        <w:sectPr>
          <w:footerReference r:id="rId3" w:type="default"/>
          <w:pgSz w:w="11910" w:h="16840"/>
          <w:pgMar w:top="1100" w:right="1134" w:bottom="1503" w:left="1202" w:header="873" w:footer="1304" w:gutter="0"/>
          <w:cols w:space="720" w:num="1"/>
        </w:sectPr>
      </w:pPr>
    </w:p>
    <w:tbl>
      <w:tblPr>
        <w:tblStyle w:val="7"/>
        <w:tblpPr w:leftFromText="180" w:rightFromText="180" w:vertAnchor="text" w:horzAnchor="margin" w:tblpXSpec="right" w:tblpY="1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</w:tblGrid>
      <w:tr w14:paraId="045BB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 w:hRule="atLeast"/>
        </w:trPr>
        <w:tc>
          <w:tcPr>
            <w:tcW w:w="778" w:type="dxa"/>
          </w:tcPr>
          <w:p w14:paraId="50D48769">
            <w:pPr>
              <w:spacing w:line="42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制式</w:t>
            </w:r>
          </w:p>
        </w:tc>
      </w:tr>
    </w:tbl>
    <w:p w14:paraId="4CBCB861">
      <w:pPr>
        <w:tabs>
          <w:tab w:val="left" w:pos="7051"/>
        </w:tabs>
        <w:spacing w:line="400" w:lineRule="exact"/>
        <w:ind w:left="690" w:right="2692"/>
        <w:rPr>
          <w:rFonts w:ascii="仿宋_GB2312" w:hAnsi="仿宋_GB2312" w:eastAsia="仿宋_GB2312" w:cs="仿宋_GB2312"/>
          <w:spacing w:val="-17"/>
          <w:sz w:val="24"/>
        </w:rPr>
      </w:pPr>
    </w:p>
    <w:p w14:paraId="7EFA3C59">
      <w:pPr>
        <w:tabs>
          <w:tab w:val="left" w:pos="7051"/>
        </w:tabs>
        <w:spacing w:line="300" w:lineRule="auto"/>
        <w:ind w:left="690" w:right="2692"/>
        <w:rPr>
          <w:rFonts w:ascii="仿宋_GB2312" w:hAnsi="仿宋_GB2312" w:eastAsia="仿宋_GB2312" w:cs="仿宋_GB2312"/>
          <w:spacing w:val="-17"/>
          <w:sz w:val="24"/>
        </w:rPr>
      </w:pPr>
      <w:r>
        <w:rPr>
          <w:rFonts w:hint="eastAsia" w:ascii="仿宋_GB2312" w:hAnsi="仿宋_GB2312" w:eastAsia="仿宋_GB2312" w:cs="仿宋_GB2312"/>
          <w:spacing w:val="-17"/>
          <w:sz w:val="24"/>
        </w:rPr>
        <w:t>甲   方：西安市中医医院</w:t>
      </w:r>
    </w:p>
    <w:p w14:paraId="60EA1DBD">
      <w:pPr>
        <w:tabs>
          <w:tab w:val="left" w:pos="7051"/>
        </w:tabs>
        <w:spacing w:line="300" w:lineRule="auto"/>
        <w:ind w:left="690" w:right="2692"/>
        <w:rPr>
          <w:rFonts w:ascii="仿宋_GB2312" w:hAnsi="仿宋_GB2312" w:eastAsia="仿宋_GB2312" w:cs="仿宋_GB2312"/>
          <w:spacing w:val="-17"/>
          <w:sz w:val="24"/>
        </w:rPr>
      </w:pPr>
      <w:r>
        <w:rPr>
          <w:rFonts w:hint="eastAsia" w:ascii="仿宋_GB2312" w:hAnsi="仿宋_GB2312" w:eastAsia="仿宋_GB2312" w:cs="仿宋_GB2312"/>
          <w:spacing w:val="-17"/>
          <w:sz w:val="24"/>
        </w:rPr>
        <w:t>乙   方：</w:t>
      </w:r>
    </w:p>
    <w:p w14:paraId="1083BBCC">
      <w:pPr>
        <w:tabs>
          <w:tab w:val="left" w:pos="7051"/>
        </w:tabs>
        <w:spacing w:line="300" w:lineRule="auto"/>
        <w:ind w:left="690" w:right="2692"/>
        <w:rPr>
          <w:rFonts w:ascii="仿宋_GB2312" w:hAnsi="仿宋_GB2312" w:eastAsia="仿宋_GB2312" w:cs="仿宋_GB2312"/>
          <w:spacing w:val="-17"/>
          <w:sz w:val="24"/>
        </w:rPr>
      </w:pPr>
      <w:r>
        <w:rPr>
          <w:rFonts w:hint="eastAsia" w:ascii="仿宋_GB2312" w:hAnsi="仿宋_GB2312" w:eastAsia="仿宋_GB2312" w:cs="仿宋_GB2312"/>
          <w:spacing w:val="-17"/>
          <w:sz w:val="24"/>
        </w:rPr>
        <w:t>鉴证方：</w:t>
      </w:r>
    </w:p>
    <w:p w14:paraId="28C8364F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</w:rPr>
        <w:t>经甲乙双方协商一致，鉴证方确认，根据《中华人民共和国政府采购法》及《中华人民共和国民法典》和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竞争性磋商</w:t>
      </w:r>
      <w:r>
        <w:rPr>
          <w:rFonts w:hint="eastAsia" w:ascii="仿宋_GB2312" w:hAnsi="仿宋_GB2312" w:eastAsia="仿宋_GB2312" w:cs="仿宋_GB2312"/>
          <w:sz w:val="24"/>
        </w:rPr>
        <w:t>文件、成交供应商竞争性磋商响应文件等有关规定及文件，遵循平等、自愿、公平和诚信的原则，达成如下条款。（以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磋商响应</w:t>
      </w:r>
      <w:r>
        <w:rPr>
          <w:rFonts w:hint="eastAsia" w:ascii="仿宋_GB2312" w:hAnsi="仿宋_GB2312" w:eastAsia="仿宋_GB2312" w:cs="仿宋_GB2312"/>
          <w:sz w:val="24"/>
        </w:rPr>
        <w:t>文件正本和澄清表〈函〉为准）</w:t>
      </w:r>
    </w:p>
    <w:p w14:paraId="23D84D31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一、项目概况</w:t>
      </w:r>
    </w:p>
    <w:p w14:paraId="3C161822">
      <w:pPr>
        <w:pStyle w:val="4"/>
        <w:tabs>
          <w:tab w:val="left" w:pos="7051"/>
        </w:tabs>
        <w:spacing w:line="300" w:lineRule="auto"/>
        <w:ind w:left="691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1.项目名称：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>掌上医疗移动查房</w:t>
      </w:r>
      <w:bookmarkStart w:id="5" w:name="_GoBack"/>
      <w:bookmarkEnd w:id="5"/>
      <w:r>
        <w:rPr>
          <w:rFonts w:hint="eastAsia" w:ascii="仿宋_GB2312" w:hAnsi="仿宋_GB2312" w:eastAsia="仿宋_GB2312" w:cs="仿宋_GB2312"/>
          <w:sz w:val="24"/>
          <w:u w:val="single"/>
        </w:rPr>
        <w:t>项目</w:t>
      </w:r>
    </w:p>
    <w:p w14:paraId="36A8A732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2.项目地点：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>西安市中医医院院本部、</w:t>
      </w:r>
      <w:r>
        <w:rPr>
          <w:rFonts w:ascii="仿宋_GB2312" w:hAnsi="仿宋_GB2312" w:eastAsia="仿宋_GB2312" w:cs="仿宋_GB2312"/>
          <w:sz w:val="24"/>
          <w:u w:val="single"/>
          <w:lang w:val="en-US" w:eastAsia="zh-CN"/>
        </w:rPr>
        <w:t>曲江院区、南院区</w:t>
      </w:r>
    </w:p>
    <w:p w14:paraId="7F22F0A4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二、组成本合同的文件</w:t>
      </w:r>
    </w:p>
    <w:p w14:paraId="7A76CEB7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1.合同；</w:t>
      </w:r>
    </w:p>
    <w:p w14:paraId="3AE54E86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2.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4"/>
          <w:lang w:val="en-US"/>
        </w:rPr>
        <w:t>通知书、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磋商响应</w:t>
      </w:r>
      <w:r>
        <w:rPr>
          <w:rFonts w:hint="eastAsia" w:ascii="仿宋_GB2312" w:hAnsi="仿宋_GB2312" w:eastAsia="仿宋_GB2312" w:cs="仿宋_GB2312"/>
          <w:sz w:val="24"/>
          <w:lang w:val="en-US"/>
        </w:rPr>
        <w:t>文件、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sz w:val="24"/>
          <w:lang w:val="en-US"/>
        </w:rPr>
        <w:t>文件、澄清、补充文件；</w:t>
      </w:r>
    </w:p>
    <w:p w14:paraId="0A0230E4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本合同签订后，双方依法签订的补充协议也是本合同文件的组成部分。</w:t>
      </w:r>
    </w:p>
    <w:p w14:paraId="111A55E0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三、合同金额</w:t>
      </w:r>
    </w:p>
    <w:p w14:paraId="3A5D2AF2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1.合同总金额：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lang w:val="en-US"/>
        </w:rPr>
        <w:t>元（大写：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4"/>
          <w:lang w:val="en-US"/>
        </w:rPr>
        <w:t>元整）；</w:t>
      </w:r>
    </w:p>
    <w:p w14:paraId="23456513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2.该价格包含所有系统功能要求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lang w:val="en-US"/>
        </w:rPr>
        <w:t>自验收之日起三年质保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lang w:val="en-US"/>
        </w:rPr>
        <w:t>与各个业务系统的接口费用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lang w:val="en-US"/>
        </w:rPr>
        <w:t>税费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lang w:val="en-US"/>
        </w:rPr>
        <w:t>培训费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lang w:val="en-US"/>
        </w:rPr>
        <w:t>甲方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院本部、曲江院区</w:t>
      </w:r>
      <w:r>
        <w:rPr>
          <w:rFonts w:ascii="仿宋_GB2312" w:hAnsi="仿宋_GB2312" w:eastAsia="仿宋_GB2312" w:cs="仿宋_GB2312"/>
          <w:sz w:val="24"/>
          <w:lang w:val="en-US" w:eastAsia="zh-CN"/>
        </w:rPr>
        <w:t>、南院区</w:t>
      </w:r>
      <w:r>
        <w:rPr>
          <w:rFonts w:hint="eastAsia" w:ascii="仿宋_GB2312" w:hAnsi="仿宋_GB2312" w:eastAsia="仿宋_GB2312" w:cs="仿宋_GB2312"/>
          <w:sz w:val="24"/>
          <w:lang w:val="en-US"/>
        </w:rPr>
        <w:t>安装调试实施费用及其他不可预见的费用等，合同总价一次性包死，不受市场价格变化因素的影响。产品相关功能及配置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见附件</w:t>
      </w:r>
      <w:r>
        <w:rPr>
          <w:rFonts w:hint="eastAsia" w:ascii="仿宋_GB2312" w:hAnsi="仿宋_GB2312" w:eastAsia="仿宋_GB2312" w:cs="仿宋_GB2312"/>
          <w:sz w:val="24"/>
          <w:lang w:val="en-US"/>
        </w:rPr>
        <w:t>。</w:t>
      </w:r>
    </w:p>
    <w:p w14:paraId="3843579B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四、付款方式</w:t>
      </w:r>
    </w:p>
    <w:p w14:paraId="0A8496A6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合同签订后，达到付款条件起</w:t>
      </w:r>
      <w:r>
        <w:rPr>
          <w:rFonts w:ascii="仿宋_GB2312" w:hAnsi="仿宋_GB2312" w:eastAsia="仿宋_GB2312" w:cs="仿宋_GB2312"/>
          <w:sz w:val="24"/>
          <w:lang w:val="en-US"/>
        </w:rPr>
        <w:t>30日内，</w:t>
      </w:r>
      <w:bookmarkStart w:id="0" w:name="OLE_LINK35"/>
      <w:bookmarkStart w:id="1" w:name="OLE_LINK36"/>
      <w:r>
        <w:rPr>
          <w:rFonts w:hint="eastAsia" w:ascii="仿宋_GB2312" w:hAnsi="仿宋_GB2312" w:eastAsia="仿宋_GB2312" w:cs="仿宋_GB2312"/>
          <w:sz w:val="24"/>
        </w:rPr>
        <w:t>支付合同总金额的30.00%</w:t>
      </w:r>
      <w:bookmarkEnd w:id="0"/>
      <w:bookmarkEnd w:id="1"/>
      <w:r>
        <w:rPr>
          <w:rFonts w:ascii="仿宋_GB2312" w:hAnsi="仿宋_GB2312" w:eastAsia="仿宋_GB2312" w:cs="仿宋_GB2312"/>
          <w:sz w:val="24"/>
          <w:lang w:val="en-US"/>
        </w:rPr>
        <w:t>；中标方按照招标要求完成项目的建设(提交上线报告)且验收合格后，达到付款条件起30日内，支付合同总金额的60.00%；项目通过验收且正常运行质保期结束</w:t>
      </w:r>
      <w:r>
        <w:rPr>
          <w:rFonts w:hint="eastAsia" w:ascii="仿宋_GB2312" w:hAnsi="仿宋_GB2312" w:eastAsia="仿宋_GB2312" w:cs="仿宋_GB2312"/>
          <w:sz w:val="24"/>
          <w:lang w:val="en-US"/>
        </w:rPr>
        <w:t>后，达到付款条件起</w:t>
      </w:r>
      <w:r>
        <w:rPr>
          <w:rFonts w:ascii="仿宋_GB2312" w:hAnsi="仿宋_GB2312" w:eastAsia="仿宋_GB2312" w:cs="仿宋_GB2312"/>
          <w:sz w:val="24"/>
          <w:lang w:val="en-US"/>
        </w:rPr>
        <w:t>30日内，支付合同总金额的10.00%。</w:t>
      </w:r>
    </w:p>
    <w:p w14:paraId="1B9420C5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4、结算方式:银行转账</w:t>
      </w:r>
    </w:p>
    <w:p w14:paraId="1CB9DD77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五、项目验收要求</w:t>
      </w:r>
    </w:p>
    <w:p w14:paraId="2171E50A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.本项目在甲方指定地点及时间内完成开发实施、调试，乙方完成项目建设内容自检测试合格后并出具自检报告，给甲方提交验收申请后，甲方邀请专家进行验收，验收时乙方应派人员参加，共同对验收结果进行确认，并承担相关责任。验收合格后，填写履约验收单作为对项目的最终认可。</w:t>
      </w:r>
    </w:p>
    <w:p w14:paraId="296C7D10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2.对系统功能内容进行确认，经检验无误签署交接单后，移交甲方使用，必须将本项目全部产品的所有权和使用权一并转移至甲方。</w:t>
      </w:r>
    </w:p>
    <w:p w14:paraId="42068CC7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3.验收依据</w:t>
      </w:r>
    </w:p>
    <w:p w14:paraId="10539074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①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sz w:val="24"/>
          <w:lang w:val="en-US"/>
        </w:rPr>
        <w:t>文件、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磋商响应</w:t>
      </w:r>
      <w:r>
        <w:rPr>
          <w:rFonts w:hint="eastAsia" w:ascii="仿宋_GB2312" w:hAnsi="仿宋_GB2312" w:eastAsia="仿宋_GB2312" w:cs="仿宋_GB2312"/>
          <w:sz w:val="24"/>
          <w:lang w:val="en-US"/>
        </w:rPr>
        <w:t>文件，澄清表（函）；</w:t>
      </w:r>
    </w:p>
    <w:p w14:paraId="70D963AA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②国家有关的验收标准及规范；</w:t>
      </w:r>
    </w:p>
    <w:p w14:paraId="5ED1736E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③合同及附件文本；</w:t>
      </w:r>
    </w:p>
    <w:p w14:paraId="24463AC6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④其他资料。</w:t>
      </w:r>
    </w:p>
    <w:p w14:paraId="3549826A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4.乙方向甲方提交项目实施过程中的所有资料，以便甲方日后管理和维护。交付资料应提供纸质版及电子文档，涵盖以下内容：</w:t>
      </w:r>
    </w:p>
    <w:p w14:paraId="601CF718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1）系统的体系架构及描述；</w:t>
      </w:r>
    </w:p>
    <w:p w14:paraId="524044B6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2）提供的其它技术手册，包括需求分析报告、进度表、开工报告、培训签到表、系统试运行报告、自测报告、用户使用手册、管理员使用手册、常用问题处理手册、项目验收报告。</w:t>
      </w:r>
    </w:p>
    <w:p w14:paraId="0698D0AA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六、服务要求</w:t>
      </w:r>
    </w:p>
    <w:p w14:paraId="2F89B55E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1.交货服务期：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提交开工申请后</w:t>
      </w:r>
      <w:r>
        <w:rPr>
          <w:rFonts w:ascii="仿宋_GB2312" w:hAnsi="仿宋_GB2312" w:eastAsia="仿宋_GB2312" w:cs="仿宋_GB2312"/>
          <w:sz w:val="24"/>
          <w:lang w:val="en-US"/>
        </w:rPr>
        <w:t>8个月内完成系统开发和各类数据建设，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三</w:t>
      </w:r>
      <w:r>
        <w:rPr>
          <w:rFonts w:ascii="仿宋_GB2312" w:hAnsi="仿宋_GB2312" w:eastAsia="仿宋_GB2312" w:cs="仿宋_GB2312"/>
          <w:sz w:val="24"/>
          <w:lang w:val="en-US"/>
        </w:rPr>
        <w:t>个月试运行且完成验收后交付采购人，</w:t>
      </w:r>
      <w:r>
        <w:rPr>
          <w:rFonts w:hint="eastAsia" w:ascii="仿宋_GB2312" w:hAnsi="仿宋_GB2312" w:eastAsia="仿宋_GB2312" w:cs="仿宋_GB2312"/>
          <w:sz w:val="24"/>
          <w:lang w:val="en-US"/>
        </w:rPr>
        <w:t>自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验收</w:t>
      </w:r>
      <w:r>
        <w:rPr>
          <w:rFonts w:hint="eastAsia" w:ascii="仿宋_GB2312" w:hAnsi="仿宋_GB2312" w:eastAsia="仿宋_GB2312" w:cs="仿宋_GB2312"/>
          <w:sz w:val="24"/>
          <w:lang w:val="en-US"/>
        </w:rPr>
        <w:t>合格后提供为期三年的服务。</w:t>
      </w:r>
    </w:p>
    <w:p w14:paraId="50FFA60C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2.乙方根据本次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sz w:val="24"/>
          <w:lang w:val="en-US"/>
        </w:rPr>
        <w:t>文件所制定的目标和范围，提出相应的服务方案，服务方式包括但不限于电话支持、邮件支持、现场支持等。乙方售后服务内容：包括免费升级、功能完善、软件日常维护、故障排除、定期巡检、性能调优、技术咨询等，负责系统的开发、处理，协调与各系统软件等生产厂商的关系。</w:t>
      </w:r>
    </w:p>
    <w:p w14:paraId="7A91FE76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3.技术支持要求：乙方承诺项目验收后提供7*24小时售后技术服务。服务期内出现问题，1小时内做出明确响应和安排，2小时内到达现场，24小时内解决问题，提供不间断的服务直到系统正常运行；</w:t>
      </w:r>
      <w:r>
        <w:rPr>
          <w:rFonts w:hint="eastAsia" w:ascii="仿宋_GB2312" w:hAnsi="仿宋_GB2312" w:eastAsia="仿宋_GB2312" w:cs="仿宋_GB2312"/>
          <w:sz w:val="24"/>
        </w:rPr>
        <w:t>项目实施期间内，技术人员不得更换。</w:t>
      </w:r>
    </w:p>
    <w:p w14:paraId="4DDBE87B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4.此次系统建成后存在数据变动、业务流程变化、软硬件升级等方面的扩充与升级的可能，不允许出现硬件加密造成后续数据无法迁移等问题。</w:t>
      </w:r>
    </w:p>
    <w:p w14:paraId="08729B04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5.免费升级服务：在服务期内，乙方应提供系统性能优化、数据库维护等服务。并负责系统的开发、处理、协调与各系统软件等生产厂商的关系。</w:t>
      </w:r>
    </w:p>
    <w:p w14:paraId="2FB1A43F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6.免费培训服务：向甲方提供相关培训，保证用户能够进行产品的操作、维护等工作。本项目所涉及的所有产品的基本原理、技术特性、操作、使用方法、管理维护等，以及乙方认为需要培训的内容。</w:t>
      </w:r>
    </w:p>
    <w:p w14:paraId="4CF6DCC7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7.在项目建设过程中不得随意乱动非系统资料信息，不得泄露甲方资料信息。在对任何数据修改、删除前须和信息科沟通，以免造成不必要的损失。遇特殊情况应及时告知科室。</w:t>
      </w:r>
    </w:p>
    <w:p w14:paraId="35809A9B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8.用户账户的安全性需要在系统以及运行管理机制上予以保证，对某些关键数据需要采用高可靠的、防篡改的国产密码加密算法。</w:t>
      </w:r>
    </w:p>
    <w:p w14:paraId="21B7FDC2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9.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在建设期及维保期内，免费提供与上级机构和政策要求的对接接口开发服务。</w:t>
      </w:r>
    </w:p>
    <w:p w14:paraId="2A8EBFF6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10.满足多院区管理。</w:t>
      </w:r>
    </w:p>
    <w:p w14:paraId="41671AF5">
      <w:pPr>
        <w:pStyle w:val="4"/>
        <w:spacing w:line="300" w:lineRule="auto"/>
        <w:ind w:left="215" w:right="636" w:firstLine="480"/>
        <w:rPr>
          <w:rFonts w:ascii="仿宋_GB2312" w:hAnsi="仿宋_GB2312" w:eastAsia="MS Mincho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11.生产厂商承诺按照国家信息安全等级保护三级认证要求建设。</w:t>
      </w:r>
    </w:p>
    <w:p w14:paraId="2B81F3A2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12.乙方按照商用密码应用安全性评估要求进行建设,维保期内免费配合医院完成商用密码应用安全性评估的改造工作。</w:t>
      </w:r>
    </w:p>
    <w:p w14:paraId="336C6465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13.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可以</w:t>
      </w:r>
      <w:r>
        <w:rPr>
          <w:rFonts w:hint="eastAsia" w:ascii="仿宋_GB2312" w:hAnsi="仿宋_GB2312" w:eastAsia="仿宋_GB2312" w:cs="仿宋_GB2312"/>
          <w:sz w:val="24"/>
          <w:lang w:val="en-US"/>
        </w:rPr>
        <w:t>适配国产数据库和国产操作系统，可以在国产操作系统使用软件</w:t>
      </w:r>
      <w:r>
        <w:rPr>
          <w:rFonts w:ascii="仿宋_GB2312" w:hAnsi="仿宋_GB2312" w:eastAsia="仿宋_GB2312" w:cs="仿宋_GB2312"/>
          <w:sz w:val="24"/>
          <w:lang w:val="en-US"/>
        </w:rPr>
        <w:t>。</w:t>
      </w:r>
    </w:p>
    <w:p w14:paraId="605448A9">
      <w:pPr>
        <w:pStyle w:val="4"/>
        <w:spacing w:line="300" w:lineRule="auto"/>
        <w:ind w:left="215" w:right="636" w:firstLine="480"/>
        <w:rPr>
          <w:rFonts w:ascii="仿宋_GB2312" w:hAnsi="仿宋_GB2312" w:eastAsia="MS Mincho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</w:t>
      </w:r>
      <w:r>
        <w:rPr>
          <w:rFonts w:ascii="仿宋_GB2312" w:hAnsi="仿宋_GB2312" w:eastAsia="仿宋_GB2312" w:cs="仿宋_GB2312"/>
          <w:sz w:val="24"/>
          <w:lang w:val="en-US"/>
        </w:rPr>
        <w:t>4</w:t>
      </w:r>
      <w:r>
        <w:rPr>
          <w:rFonts w:hint="eastAsia" w:ascii="仿宋_GB2312" w:hAnsi="仿宋_GB2312" w:eastAsia="仿宋_GB2312" w:cs="仿宋_GB2312"/>
          <w:sz w:val="24"/>
          <w:lang w:val="en-US"/>
        </w:rPr>
        <w:t>.质保期满后的服务费，乙方须说明质保期外服务内容及收费标准，每年金额不超过项目总额的6%。</w:t>
      </w:r>
    </w:p>
    <w:p w14:paraId="1C7470A9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七、项目组织管理要求</w:t>
      </w:r>
    </w:p>
    <w:p w14:paraId="3A12C123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1.乙方应充分考虑满足项目的建设要求，提出完整的项目管理、项目实施、项目培训、项目验收、售后服务方案。</w:t>
      </w:r>
    </w:p>
    <w:p w14:paraId="7C8828F6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2.乙方必须提供可靠的售后服务保障，保证提供长期、稳定的技术支持服务。</w:t>
      </w:r>
    </w:p>
    <w:p w14:paraId="0E986FFD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3.乙方应保证，在中华人民共和国境内使用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磋商响应提供的</w:t>
      </w:r>
      <w:r>
        <w:rPr>
          <w:rFonts w:hint="eastAsia" w:ascii="仿宋_GB2312" w:hAnsi="仿宋_GB2312" w:eastAsia="仿宋_GB2312" w:cs="仿宋_GB2312"/>
          <w:sz w:val="24"/>
          <w:lang w:val="en-US"/>
        </w:rPr>
        <w:t>技术、服务或其任何一部分时，不会产生因第三方提出侵犯其专利权、商标权或其它知识产权而引起的法律和经济纠纷。如乙方不拥有相应的知识产权，则在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磋商报</w:t>
      </w:r>
      <w:r>
        <w:rPr>
          <w:rFonts w:hint="eastAsia" w:ascii="仿宋_GB2312" w:hAnsi="仿宋_GB2312" w:eastAsia="仿宋_GB2312" w:cs="仿宋_GB2312"/>
          <w:sz w:val="24"/>
          <w:lang w:val="en-US"/>
        </w:rPr>
        <w:t>价中必须包括合法获取该知识产权的相关证明文件。</w:t>
      </w:r>
    </w:p>
    <w:p w14:paraId="090CF1E3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4.乙方应当保证所供全部产品的来源渠道正常，且完全符合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sz w:val="24"/>
          <w:lang w:val="en-US"/>
        </w:rPr>
        <w:t>文件规定的质量、规格、指标等要求，并对质量问题负完全责任。</w:t>
      </w:r>
    </w:p>
    <w:p w14:paraId="50A8550D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5.乙方承诺所提供产品符合国家有关规定，乙方所提供产品具有合法的知识产权，如在本项目范围内使用过程中出现版权或使用权纠纷，应由乙方负责，甲方不承担责任。乙方必须保证解决项目所涉及的技术问题，如因技术原因无法满足甲方需求，由此产生的风险由乙方承担。</w:t>
      </w:r>
    </w:p>
    <w:p w14:paraId="64D3A76A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6.乙方必须保证合同约定项目建设内容满足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sz w:val="24"/>
          <w:lang w:val="en-US"/>
        </w:rPr>
        <w:t>文件的建设和服务要求。</w:t>
      </w:r>
    </w:p>
    <w:p w14:paraId="26CA8997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7.自软件上线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验收</w:t>
      </w:r>
      <w:r>
        <w:rPr>
          <w:rFonts w:hint="eastAsia" w:ascii="仿宋_GB2312" w:hAnsi="仿宋_GB2312" w:eastAsia="仿宋_GB2312" w:cs="仿宋_GB2312"/>
          <w:sz w:val="24"/>
          <w:lang w:val="en-US"/>
        </w:rPr>
        <w:t>之日起，乙方负责对所提供的产品进行免费纠错性维护，保证系统的正常运行。</w:t>
      </w:r>
    </w:p>
    <w:p w14:paraId="430D37E7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8.乙方保证针对该合同中提到的所有内容均由产品供应商提供安装、培训、维保、升级等服务。</w:t>
      </w:r>
    </w:p>
    <w:p w14:paraId="6D266EC9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八、双方权利及义务</w:t>
      </w:r>
    </w:p>
    <w:p w14:paraId="7674F500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1.甲乙双方必须遵守本合同并执行合同中的各项规定，保证本合同的正常履行。</w:t>
      </w:r>
    </w:p>
    <w:p w14:paraId="7FE7F50F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2.本合同签订后甲乙双方不得单方终止合同。</w:t>
      </w:r>
    </w:p>
    <w:p w14:paraId="00B14E98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3.如因乙方存在以下行为，甲方有权终止合同，乙方向甲方承担全部赔偿责任，并报请政府采购监督管理机关进行相应的行政处罚。</w:t>
      </w:r>
    </w:p>
    <w:p w14:paraId="2D20C05D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①网络舆情或媒体报道存在不规范操作行为；</w:t>
      </w:r>
    </w:p>
    <w:p w14:paraId="5C806A87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②存在弄虚作假、传递虚假信息等违法违规行为；</w:t>
      </w:r>
    </w:p>
    <w:p w14:paraId="4583B1F8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③基础设施及人员仪器设备不能满足需要，提出后拒不整改；</w:t>
      </w:r>
    </w:p>
    <w:p w14:paraId="684F4F0F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④未全面履行合同义务或者发生违约；</w:t>
      </w:r>
    </w:p>
    <w:p w14:paraId="4598D5BB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4.甲方违约的，应当赔偿给乙方造成的直接经济损失。</w:t>
      </w:r>
    </w:p>
    <w:p w14:paraId="134C3443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5.甲方提供服务器及网络环境，乙方全权负责系统运行环境、软件平台及系统运行的其它要求等，以满足乙方软件产品安装。</w:t>
      </w:r>
    </w:p>
    <w:p w14:paraId="6D7DB332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6、本合同未经双方同意，任何一方不得以任何形式公开本合同及附件内容，以确保双方的商业机密。</w:t>
      </w:r>
    </w:p>
    <w:p w14:paraId="0A508299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7.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4DAEDDC1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九.保密</w:t>
      </w:r>
    </w:p>
    <w:p w14:paraId="487E1B77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对工作中了解到的甲方的技术、机密等进行严格保密，不得向他人泄漏。本合同的解除或终止不免除乙方应承担的保密义务。</w:t>
      </w:r>
    </w:p>
    <w:p w14:paraId="28F082B7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十、知识产权</w:t>
      </w:r>
    </w:p>
    <w:p w14:paraId="2DD38232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</w:r>
    </w:p>
    <w:p w14:paraId="2636783B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十一、合同争议的解决</w:t>
      </w:r>
    </w:p>
    <w:p w14:paraId="12AF2E87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合同执行中发生争议的，当事人双方应协商解决。协商达不成一致时，向甲方所在地人民法院提请诉讼。</w:t>
      </w:r>
    </w:p>
    <w:p w14:paraId="6598A245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十二、不可抗力情况下的免责约定</w:t>
      </w:r>
    </w:p>
    <w:p w14:paraId="2B9617DF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1、如果本协议的其中一方因受战争、火灾、洪水、地震、国内骚乱或其它灾害影响，而不能履行本协议，则履约时间应被延长，而且对于因延时而造成的损失，任何一方都不必承担责任。</w:t>
      </w:r>
    </w:p>
    <w:p w14:paraId="381E8195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2、受阻的一方应在不可抗力因素发生后尽可能短时间内通过传真、电话、邮件等形式通知另一方，并在此后十四个日历日内，将有关部门签发的书面证明作为证据发送给另一方。</w:t>
      </w:r>
    </w:p>
    <w:p w14:paraId="055DF41E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十三、违约责任</w:t>
      </w:r>
    </w:p>
    <w:p w14:paraId="006AE537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依据《中华人民共和国民法典》、《中华人民共和国政府采购法》、《中华人民共和国政府采购法实施条例》的相关条款和本合同约定，乙方未全面履行合同义务或者发生违约，甲方会同采购代理机构有权终止合同，依法向乙方进行经济索赔，并报请政府采购监督管理机关进行相应的行政处罚。甲方违约的，应当赔偿给乙方造成的经济损失。</w:t>
      </w:r>
    </w:p>
    <w:p w14:paraId="1FE818F1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1.乙方工作人员在服务过程中，因其工作失职造成甲方损失的，乙方应按损失的价值照价赔偿，如无法计算实际价值的，按照最高不超过合同总价百分之五给予赔偿。</w:t>
      </w:r>
    </w:p>
    <w:p w14:paraId="2611A49A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2.乙方不能按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sz w:val="24"/>
          <w:lang w:val="en-US"/>
        </w:rPr>
        <w:t>文件要求及投标承诺提供服务的，向甲方每日偿付合同总价千分之二的违约金，经甲方督促仍不予改进的，甲方有权终止合同。</w:t>
      </w:r>
    </w:p>
    <w:p w14:paraId="0DE47F21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3.乙方应根据甲方要求在规定时间内完成软件的定制开发，因乙方原因未能按时交付的，乙方向甲方每日偿付合同总价千分之二的违约金，乙方逾期30日未完成软件的定制开发，视为乙方不能履行合同，甲方有权解除合同。</w:t>
      </w:r>
    </w:p>
    <w:p w14:paraId="11EDC249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4.乙方工作人员在服务过程中严格对客户的数据履行保密义务，不得泄漏甲方相关数据，如违约甲方有权终止合同，要求乙方赔偿一切损失并承担相应的法律责任。</w:t>
      </w:r>
    </w:p>
    <w:p w14:paraId="69432992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5.乙方逾期履行合同的，自逾期之日起，向甲方每日偿付合同总价千分之二的滞纳金。</w:t>
      </w:r>
    </w:p>
    <w:p w14:paraId="509EAD54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6.项目上线且验收合格后，甲方逾期支付货款的，应向乙方每日偿付合同总价千分之二的滞纳金。甲方无正当理由拒收货物、拒付货款的，应向乙方偿付合同总价百分之五的违约金。</w:t>
      </w:r>
    </w:p>
    <w:p w14:paraId="726C453B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7.甲方无故拖延支付货款超过合同规定支付时间的，乙方可按照有关规定向甲方直接发起支付申请，并要求当地有关部门对其违规情况予以处理。</w:t>
      </w:r>
    </w:p>
    <w:p w14:paraId="3EA8E0D8">
      <w:pPr>
        <w:pStyle w:val="4"/>
        <w:spacing w:line="300" w:lineRule="auto"/>
        <w:ind w:left="215" w:right="636" w:firstLine="48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lang w:val="en-US"/>
        </w:rPr>
        <w:t>8.如因一方违约，双方未能就赔偿损失达成协议，引起诉讼时，违约方除应赔偿对方经济损失外，还应承担对方因诉讼所支付的律师代理费等相关费用。</w:t>
      </w:r>
    </w:p>
    <w:p w14:paraId="6FC69469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bookmarkStart w:id="2" w:name="第四章_竞争性磋商内容及服务要求"/>
      <w:bookmarkEnd w:id="2"/>
      <w:r>
        <w:rPr>
          <w:rFonts w:hint="eastAsia" w:ascii="仿宋_GB2312" w:hAnsi="仿宋_GB2312" w:eastAsia="仿宋_GB2312" w:cs="仿宋_GB2312"/>
        </w:rPr>
        <w:t>十四、项目联系人及方式</w:t>
      </w:r>
    </w:p>
    <w:p w14:paraId="30386719">
      <w:pPr>
        <w:pStyle w:val="4"/>
        <w:tabs>
          <w:tab w:val="left" w:pos="6211"/>
        </w:tabs>
        <w:spacing w:line="300" w:lineRule="auto"/>
        <w:ind w:firstLine="720" w:firstLineChars="30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</w:rPr>
        <w:t>甲方项目联系人：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 xml:space="preserve">             乙方项目联系人：</w:t>
      </w:r>
    </w:p>
    <w:p w14:paraId="7ED7F3BC">
      <w:pPr>
        <w:pStyle w:val="4"/>
        <w:tabs>
          <w:tab w:val="left" w:pos="6211"/>
        </w:tabs>
        <w:spacing w:line="300" w:lineRule="auto"/>
        <w:ind w:firstLine="720" w:firstLineChars="3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联系电话：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</w:rPr>
        <w:t>联系电话：</w:t>
      </w:r>
    </w:p>
    <w:p w14:paraId="3DAE6257">
      <w:pPr>
        <w:pStyle w:val="4"/>
        <w:tabs>
          <w:tab w:val="left" w:pos="6211"/>
        </w:tabs>
        <w:spacing w:line="300" w:lineRule="auto"/>
        <w:ind w:firstLine="720" w:firstLineChars="300"/>
        <w:rPr>
          <w:rFonts w:ascii="仿宋_GB2312" w:hAnsi="仿宋_GB2312" w:eastAsia="仿宋_GB2312" w:cs="仿宋_GB2312"/>
          <w:sz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</w:rPr>
        <w:t>联系邮箱</w:t>
      </w:r>
      <w:r>
        <w:rPr>
          <w:rFonts w:hint="eastAsia" w:ascii="仿宋_GB2312" w:hAnsi="仿宋_GB2312" w:eastAsia="仿宋_GB2312" w:cs="仿宋_GB2312"/>
          <w:sz w:val="24"/>
          <w:lang w:val="en-US"/>
        </w:rPr>
        <w:t>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lang w:val="en-US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4"/>
        </w:rPr>
        <w:t>联系邮箱</w:t>
      </w:r>
      <w:r>
        <w:rPr>
          <w:rFonts w:hint="eastAsia" w:ascii="仿宋_GB2312" w:hAnsi="仿宋_GB2312" w:eastAsia="仿宋_GB2312" w:cs="仿宋_GB2312"/>
          <w:sz w:val="24"/>
          <w:lang w:val="en-US"/>
        </w:rPr>
        <w:t>：</w:t>
      </w:r>
    </w:p>
    <w:p w14:paraId="65FF84EF">
      <w:pPr>
        <w:pStyle w:val="4"/>
        <w:spacing w:line="300" w:lineRule="auto"/>
        <w:ind w:left="215" w:right="697" w:firstLine="48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pacing w:val="-5"/>
          <w:sz w:val="24"/>
        </w:rPr>
        <w:t>双方确定，在本合同有效期内，甲方指定</w:t>
      </w:r>
      <w:r>
        <w:rPr>
          <w:rFonts w:hint="eastAsia" w:ascii="仿宋_GB2312" w:hAnsi="仿宋_GB2312" w:eastAsia="仿宋_GB2312" w:cs="仿宋_GB2312"/>
          <w:spacing w:val="-5"/>
          <w:sz w:val="24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pacing w:val="-5"/>
          <w:sz w:val="24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</w:rPr>
        <w:t>为甲方项目联系人，乙方指定</w:t>
      </w:r>
      <w:r>
        <w:rPr>
          <w:rFonts w:hint="eastAsia" w:ascii="仿宋_GB2312" w:hAnsi="仿宋_GB2312" w:eastAsia="仿宋_GB2312" w:cs="仿宋_GB2312"/>
          <w:spacing w:val="-5"/>
          <w:sz w:val="24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pacing w:val="-5"/>
          <w:sz w:val="24"/>
          <w:u w:val="single"/>
          <w:lang w:val="en-US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4"/>
        </w:rPr>
        <w:t>为乙方项目联系人。一方变更项目联系人的，应当及时以书面形式通知另一方。未及时通知并影响本合同履行或造成损失的，应承担相应的责任。</w:t>
      </w:r>
    </w:p>
    <w:p w14:paraId="169BC328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十五、合同订立</w:t>
      </w:r>
    </w:p>
    <w:p w14:paraId="709A9272">
      <w:pPr>
        <w:pStyle w:val="4"/>
        <w:spacing w:line="300" w:lineRule="auto"/>
        <w:ind w:left="215" w:right="697" w:firstLine="480"/>
        <w:rPr>
          <w:rFonts w:ascii="仿宋_GB2312" w:hAnsi="仿宋_GB2312" w:eastAsia="仿宋_GB2312" w:cs="仿宋_GB2312"/>
          <w:spacing w:val="-5"/>
          <w:sz w:val="24"/>
        </w:rPr>
      </w:pPr>
      <w:r>
        <w:rPr>
          <w:rFonts w:hint="eastAsia" w:ascii="仿宋_GB2312" w:hAnsi="仿宋_GB2312" w:eastAsia="仿宋_GB2312" w:cs="仿宋_GB2312"/>
          <w:spacing w:val="-5"/>
          <w:sz w:val="24"/>
        </w:rPr>
        <w:t>1.订立地点：</w:t>
      </w:r>
      <w:r>
        <w:rPr>
          <w:rFonts w:hint="eastAsia" w:ascii="仿宋_GB2312" w:hAnsi="仿宋_GB2312" w:eastAsia="仿宋_GB2312" w:cs="仿宋_GB2312"/>
          <w:spacing w:val="-5"/>
          <w:sz w:val="24"/>
          <w:lang w:val="en-US"/>
        </w:rPr>
        <w:t>西安市中医医院</w:t>
      </w:r>
      <w:r>
        <w:rPr>
          <w:rFonts w:hint="eastAsia" w:ascii="仿宋_GB2312" w:hAnsi="仿宋_GB2312" w:eastAsia="仿宋_GB2312" w:cs="仿宋_GB2312"/>
          <w:spacing w:val="-5"/>
          <w:sz w:val="24"/>
          <w:lang w:val="en-US" w:eastAsia="zh-CN"/>
        </w:rPr>
        <w:t>院本部、</w:t>
      </w:r>
      <w:r>
        <w:rPr>
          <w:rFonts w:ascii="仿宋_GB2312" w:hAnsi="仿宋_GB2312" w:eastAsia="仿宋_GB2312" w:cs="仿宋_GB2312"/>
          <w:spacing w:val="-5"/>
          <w:sz w:val="24"/>
          <w:lang w:val="en-US" w:eastAsia="zh-CN"/>
        </w:rPr>
        <w:t>曲江院区、南院区</w:t>
      </w:r>
      <w:r>
        <w:rPr>
          <w:rFonts w:hint="eastAsia" w:ascii="仿宋_GB2312" w:hAnsi="仿宋_GB2312" w:eastAsia="仿宋_GB2312" w:cs="仿宋_GB2312"/>
          <w:spacing w:val="-5"/>
          <w:sz w:val="24"/>
        </w:rPr>
        <w:t>。</w:t>
      </w:r>
    </w:p>
    <w:p w14:paraId="74F1131A">
      <w:pPr>
        <w:pStyle w:val="4"/>
        <w:spacing w:line="300" w:lineRule="auto"/>
        <w:ind w:left="215" w:right="697" w:firstLine="480"/>
        <w:rPr>
          <w:rFonts w:ascii="仿宋_GB2312" w:hAnsi="仿宋_GB2312" w:eastAsia="仿宋_GB2312" w:cs="仿宋_GB2312"/>
          <w:spacing w:val="-5"/>
          <w:sz w:val="24"/>
        </w:rPr>
      </w:pPr>
      <w:r>
        <w:rPr>
          <w:rFonts w:hint="eastAsia" w:ascii="仿宋_GB2312" w:hAnsi="仿宋_GB2312" w:eastAsia="仿宋_GB2312" w:cs="仿宋_GB2312"/>
          <w:spacing w:val="-5"/>
          <w:sz w:val="24"/>
        </w:rPr>
        <w:t>2.</w:t>
      </w:r>
      <w:r>
        <w:rPr>
          <w:rFonts w:hint="eastAsia" w:ascii="仿宋_GB2312" w:hAnsi="仿宋_GB2312" w:eastAsia="仿宋_GB2312" w:cs="仿宋_GB2312"/>
          <w:spacing w:val="-5"/>
          <w:sz w:val="24"/>
          <w:lang w:val="en-US"/>
        </w:rPr>
        <w:t>若在合同期内某一方违反本合同规定，另一方有权提出书面陈述甚至终止本合同，费用结算按照实际服务量据实结算。</w:t>
      </w:r>
    </w:p>
    <w:p w14:paraId="5F76B7AB">
      <w:pPr>
        <w:pStyle w:val="4"/>
        <w:spacing w:line="300" w:lineRule="auto"/>
        <w:ind w:left="215" w:right="697" w:firstLine="480"/>
        <w:rPr>
          <w:rFonts w:ascii="仿宋_GB2312" w:hAnsi="仿宋_GB2312" w:eastAsia="仿宋_GB2312" w:cs="仿宋_GB2312"/>
          <w:spacing w:val="-5"/>
          <w:sz w:val="24"/>
        </w:rPr>
      </w:pPr>
      <w:r>
        <w:rPr>
          <w:rFonts w:hint="eastAsia" w:ascii="仿宋_GB2312" w:hAnsi="仿宋_GB2312" w:eastAsia="仿宋_GB2312" w:cs="仿宋_GB2312"/>
          <w:spacing w:val="-5"/>
          <w:sz w:val="24"/>
        </w:rPr>
        <w:t>3.</w:t>
      </w:r>
      <w:r>
        <w:rPr>
          <w:rFonts w:hint="eastAsia" w:ascii="仿宋_GB2312" w:hAnsi="仿宋_GB2312" w:eastAsia="仿宋_GB2312" w:cs="仿宋_GB2312"/>
          <w:sz w:val="24"/>
        </w:rPr>
        <w:t>本合同一式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拾 </w:t>
      </w:r>
      <w:r>
        <w:rPr>
          <w:rFonts w:hint="eastAsia" w:ascii="仿宋_GB2312" w:hAnsi="仿宋_GB2312" w:eastAsia="仿宋_GB2312" w:cs="仿宋_GB2312"/>
          <w:sz w:val="24"/>
        </w:rPr>
        <w:t>份，具有同等法律效力，甲方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u w:val="single"/>
          <w:lang w:eastAsia="zh-CN"/>
        </w:rPr>
        <w:t>捌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>份、乙方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壹 </w:t>
      </w:r>
      <w:r>
        <w:rPr>
          <w:rFonts w:hint="eastAsia" w:ascii="仿宋_GB2312" w:hAnsi="仿宋_GB2312" w:eastAsia="仿宋_GB2312" w:cs="仿宋_GB2312"/>
          <w:sz w:val="24"/>
        </w:rPr>
        <w:t>份，采购代理机构存档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壹 </w:t>
      </w:r>
      <w:r>
        <w:rPr>
          <w:rFonts w:hint="eastAsia" w:ascii="仿宋_GB2312" w:hAnsi="仿宋_GB2312" w:eastAsia="仿宋_GB2312" w:cs="仿宋_GB2312"/>
          <w:sz w:val="24"/>
        </w:rPr>
        <w:t>份。各方签字并盖章后生效，合同的服务承诺则长期有效。合同未尽事宜，由甲、乙双方协商，作为合同补充，与原合同具有同等法律效力。</w:t>
      </w:r>
    </w:p>
    <w:p w14:paraId="6870F243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十六、乙方账户信息</w:t>
      </w:r>
    </w:p>
    <w:p w14:paraId="500AD7B2">
      <w:pPr>
        <w:pStyle w:val="4"/>
        <w:spacing w:line="300" w:lineRule="auto"/>
        <w:ind w:left="215" w:right="697" w:firstLine="480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spacing w:val="-5"/>
        </w:rPr>
        <w:t>开户银行：</w:t>
      </w:r>
    </w:p>
    <w:p w14:paraId="4B019BF5">
      <w:pPr>
        <w:pStyle w:val="4"/>
        <w:spacing w:line="300" w:lineRule="auto"/>
        <w:ind w:left="215" w:right="697" w:firstLine="480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spacing w:val="-5"/>
        </w:rPr>
        <w:t>帐号：</w:t>
      </w:r>
    </w:p>
    <w:p w14:paraId="17C8ED1C">
      <w:pPr>
        <w:pStyle w:val="4"/>
        <w:spacing w:line="300" w:lineRule="auto"/>
        <w:ind w:left="215" w:right="697" w:firstLine="480"/>
        <w:rPr>
          <w:rFonts w:ascii="仿宋_GB2312" w:hAnsi="仿宋_GB2312" w:eastAsia="仿宋_GB2312" w:cs="仿宋_GB2312"/>
          <w:spacing w:val="-5"/>
        </w:rPr>
      </w:pPr>
      <w:r>
        <w:rPr>
          <w:rFonts w:hint="eastAsia" w:ascii="仿宋_GB2312" w:hAnsi="仿宋_GB2312" w:eastAsia="仿宋_GB2312" w:cs="仿宋_GB2312"/>
          <w:color w:val="000000"/>
        </w:rPr>
        <w:t>纳税人识别号：</w:t>
      </w:r>
      <w:r>
        <w:rPr>
          <w:rFonts w:hint="eastAsia" w:ascii="仿宋_GB2312" w:hAnsi="仿宋_GB2312" w:eastAsia="仿宋_GB2312" w:cs="仿宋_GB2312"/>
          <w:spacing w:val="-5"/>
        </w:rPr>
        <w:t xml:space="preserve"> </w:t>
      </w:r>
    </w:p>
    <w:p w14:paraId="123CFC41">
      <w:pPr>
        <w:pStyle w:val="4"/>
        <w:ind w:left="215" w:right="634"/>
        <w:rPr>
          <w:rFonts w:ascii="仿宋_GB2312" w:hAnsi="仿宋_GB2312" w:eastAsia="仿宋_GB2312" w:cs="仿宋_GB2312"/>
          <w:b/>
        </w:rPr>
      </w:pPr>
      <w:r>
        <w:rPr>
          <w:rFonts w:hint="eastAsia" w:ascii="仿宋_GB2312" w:hAnsi="仿宋_GB2312" w:eastAsia="仿宋_GB2312" w:cs="仿宋_GB2312"/>
          <w:b/>
        </w:rPr>
        <w:t>（以下无正文）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331"/>
        <w:gridCol w:w="3332"/>
      </w:tblGrid>
      <w:tr w14:paraId="723A1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3095" w:type="dxa"/>
            <w:vAlign w:val="center"/>
          </w:tcPr>
          <w:p w14:paraId="48A5FC1D"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甲方</w:t>
            </w:r>
          </w:p>
        </w:tc>
        <w:tc>
          <w:tcPr>
            <w:tcW w:w="3331" w:type="dxa"/>
            <w:vAlign w:val="center"/>
          </w:tcPr>
          <w:p w14:paraId="22C5CEB6"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乙方</w:t>
            </w:r>
          </w:p>
        </w:tc>
        <w:tc>
          <w:tcPr>
            <w:tcW w:w="3332" w:type="dxa"/>
            <w:vAlign w:val="center"/>
          </w:tcPr>
          <w:p w14:paraId="1997DE5B"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鉴证方</w:t>
            </w:r>
          </w:p>
        </w:tc>
      </w:tr>
      <w:tr w14:paraId="0A877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  <w:jc w:val="center"/>
        </w:trPr>
        <w:tc>
          <w:tcPr>
            <w:tcW w:w="3095" w:type="dxa"/>
            <w:vAlign w:val="center"/>
          </w:tcPr>
          <w:p w14:paraId="38E13FA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3454C1A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西安市中医医院</w:t>
            </w:r>
          </w:p>
          <w:p w14:paraId="32966D3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（盖章）:</w:t>
            </w:r>
          </w:p>
          <w:p w14:paraId="4FE91513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3BDA4CEC">
            <w:pPr>
              <w:pStyle w:val="2"/>
              <w:ind w:firstLine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40C5DD77">
            <w:pPr>
              <w:pStyle w:val="2"/>
              <w:ind w:firstLine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31" w:type="dxa"/>
            <w:vAlign w:val="center"/>
          </w:tcPr>
          <w:p w14:paraId="01CDEF02"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  <w:p w14:paraId="5456CBDC"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（盖章）:</w:t>
            </w:r>
          </w:p>
          <w:p w14:paraId="20D7903E">
            <w:pPr>
              <w:pStyle w:val="2"/>
              <w:ind w:firstLine="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 w14:paraId="08C5526C">
            <w:pPr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  <w:p w14:paraId="14F7C00B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32" w:type="dxa"/>
            <w:vAlign w:val="center"/>
          </w:tcPr>
          <w:p w14:paraId="7F8F326B"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  <w:p w14:paraId="338E3D90"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  <w:p w14:paraId="72DC9F8A"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（盖章）:</w:t>
            </w:r>
          </w:p>
          <w:p w14:paraId="14E1765C">
            <w:pPr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  <w:p w14:paraId="28865967">
            <w:pPr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</w:p>
          <w:p w14:paraId="45207DD0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53F00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095" w:type="dxa"/>
            <w:vAlign w:val="center"/>
          </w:tcPr>
          <w:p w14:paraId="096C6E0A">
            <w:pPr>
              <w:widowControl/>
              <w:snapToGrid w:val="0"/>
              <w:spacing w:line="360" w:lineRule="auto"/>
              <w:ind w:right="-153"/>
              <w:textAlignment w:val="bottom"/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地址：西安市未央区凤城八</w:t>
            </w:r>
          </w:p>
          <w:p w14:paraId="1FC63B18">
            <w:pPr>
              <w:widowControl/>
              <w:snapToGrid w:val="0"/>
              <w:spacing w:line="360" w:lineRule="auto"/>
              <w:ind w:right="-153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路69号</w:t>
            </w:r>
          </w:p>
        </w:tc>
        <w:tc>
          <w:tcPr>
            <w:tcW w:w="3331" w:type="dxa"/>
            <w:vAlign w:val="center"/>
          </w:tcPr>
          <w:p w14:paraId="12D5C9CF">
            <w:pPr>
              <w:widowControl/>
              <w:snapToGrid w:val="0"/>
              <w:spacing w:line="360" w:lineRule="auto"/>
              <w:ind w:right="-153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地址：</w:t>
            </w:r>
          </w:p>
        </w:tc>
        <w:tc>
          <w:tcPr>
            <w:tcW w:w="3332" w:type="dxa"/>
            <w:vAlign w:val="center"/>
          </w:tcPr>
          <w:p w14:paraId="2EABC59E">
            <w:pPr>
              <w:widowControl/>
              <w:snapToGrid w:val="0"/>
              <w:spacing w:line="360" w:lineRule="auto"/>
              <w:ind w:right="-153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地址：</w:t>
            </w:r>
          </w:p>
          <w:p w14:paraId="0EC919D0">
            <w:pPr>
              <w:widowControl/>
              <w:snapToGrid w:val="0"/>
              <w:spacing w:line="360" w:lineRule="auto"/>
              <w:ind w:right="-153"/>
              <w:textAlignment w:val="bottom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36CA5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095" w:type="dxa"/>
            <w:vAlign w:val="center"/>
          </w:tcPr>
          <w:p w14:paraId="3AE74D79">
            <w:pPr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法定代表人/负责人（签章）：</w:t>
            </w:r>
          </w:p>
          <w:p w14:paraId="5693F10C">
            <w:pPr>
              <w:pStyle w:val="2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31" w:type="dxa"/>
            <w:vAlign w:val="center"/>
          </w:tcPr>
          <w:p w14:paraId="04934E40">
            <w:pPr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（签章）：</w:t>
            </w:r>
          </w:p>
          <w:p w14:paraId="222DAE84">
            <w:pPr>
              <w:pStyle w:val="2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32" w:type="dxa"/>
            <w:vAlign w:val="center"/>
          </w:tcPr>
          <w:p w14:paraId="4D8CB972">
            <w:pPr>
              <w:rPr>
                <w:rFonts w:ascii="仿宋_GB2312" w:hAnsi="仿宋_GB2312" w:eastAsia="仿宋_GB2312" w:cs="仿宋_GB2312"/>
                <w:color w:val="000000"/>
                <w:spacing w:val="-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（签章）：</w:t>
            </w:r>
          </w:p>
          <w:p w14:paraId="2AB32CCC">
            <w:pPr>
              <w:pStyle w:val="2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68C0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095" w:type="dxa"/>
            <w:vAlign w:val="center"/>
          </w:tcPr>
          <w:p w14:paraId="0B1A2873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主管院长：</w:t>
            </w:r>
          </w:p>
        </w:tc>
        <w:tc>
          <w:tcPr>
            <w:tcW w:w="3331" w:type="dxa"/>
            <w:vAlign w:val="center"/>
          </w:tcPr>
          <w:p w14:paraId="058E6FFD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32" w:type="dxa"/>
            <w:vAlign w:val="center"/>
          </w:tcPr>
          <w:p w14:paraId="446AF6D4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1589A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3095" w:type="dxa"/>
            <w:vAlign w:val="center"/>
          </w:tcPr>
          <w:p w14:paraId="55C8F433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代理人：</w:t>
            </w:r>
          </w:p>
        </w:tc>
        <w:tc>
          <w:tcPr>
            <w:tcW w:w="3331" w:type="dxa"/>
            <w:vAlign w:val="center"/>
          </w:tcPr>
          <w:p w14:paraId="194D36F9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代理人：</w:t>
            </w:r>
          </w:p>
        </w:tc>
        <w:tc>
          <w:tcPr>
            <w:tcW w:w="3332" w:type="dxa"/>
            <w:vAlign w:val="center"/>
          </w:tcPr>
          <w:p w14:paraId="4242BE41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08D6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3095" w:type="dxa"/>
            <w:vAlign w:val="center"/>
          </w:tcPr>
          <w:p w14:paraId="5DFC7F32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经办人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（签字）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：</w:t>
            </w:r>
          </w:p>
          <w:p w14:paraId="3AA889EA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31" w:type="dxa"/>
            <w:vAlign w:val="center"/>
          </w:tcPr>
          <w:p w14:paraId="6EBFAD4C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经办人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（签字）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：</w:t>
            </w:r>
          </w:p>
          <w:p w14:paraId="4A682DE7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332" w:type="dxa"/>
            <w:vAlign w:val="center"/>
          </w:tcPr>
          <w:p w14:paraId="19B5C2F9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经办人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</w:rPr>
              <w:t>（签字）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：</w:t>
            </w:r>
          </w:p>
          <w:p w14:paraId="6D058BF1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015E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3095" w:type="dxa"/>
            <w:vAlign w:val="center"/>
          </w:tcPr>
          <w:p w14:paraId="2ADE3A28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联系电话：</w:t>
            </w:r>
          </w:p>
        </w:tc>
        <w:tc>
          <w:tcPr>
            <w:tcW w:w="3331" w:type="dxa"/>
            <w:vAlign w:val="center"/>
          </w:tcPr>
          <w:p w14:paraId="2A69DF0F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联系电话：</w:t>
            </w:r>
          </w:p>
        </w:tc>
        <w:tc>
          <w:tcPr>
            <w:tcW w:w="3332" w:type="dxa"/>
            <w:vAlign w:val="center"/>
          </w:tcPr>
          <w:p w14:paraId="3A9F03B6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联系电话：</w:t>
            </w:r>
          </w:p>
        </w:tc>
      </w:tr>
      <w:tr w14:paraId="3E6F0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095" w:type="dxa"/>
            <w:vAlign w:val="center"/>
          </w:tcPr>
          <w:p w14:paraId="17A2B8D7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日期：</w:t>
            </w:r>
          </w:p>
        </w:tc>
        <w:tc>
          <w:tcPr>
            <w:tcW w:w="3331" w:type="dxa"/>
            <w:vAlign w:val="center"/>
          </w:tcPr>
          <w:p w14:paraId="5899D68A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日期：</w:t>
            </w:r>
          </w:p>
        </w:tc>
        <w:tc>
          <w:tcPr>
            <w:tcW w:w="3332" w:type="dxa"/>
            <w:vAlign w:val="center"/>
          </w:tcPr>
          <w:p w14:paraId="20C84796">
            <w:pPr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日期： </w:t>
            </w:r>
          </w:p>
        </w:tc>
      </w:tr>
    </w:tbl>
    <w:p w14:paraId="436EA6F6">
      <w:pPr>
        <w:pStyle w:val="2"/>
        <w:ind w:firstLine="0"/>
        <w:rPr>
          <w:rFonts w:ascii="仿宋_GB2312" w:hAnsi="仿宋_GB2312" w:eastAsia="仿宋_GB2312" w:cs="仿宋_GB2312"/>
        </w:rPr>
      </w:pPr>
    </w:p>
    <w:p w14:paraId="070812C6">
      <w:pPr>
        <w:pStyle w:val="2"/>
        <w:ind w:firstLine="44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br w:type="page"/>
      </w:r>
    </w:p>
    <w:p w14:paraId="5BC4DC84">
      <w:pPr>
        <w:pStyle w:val="3"/>
        <w:spacing w:line="300" w:lineRule="auto"/>
        <w:ind w:firstLine="48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附录</w:t>
      </w:r>
    </w:p>
    <w:p w14:paraId="2A4CA2B3">
      <w:pPr>
        <w:spacing w:line="300" w:lineRule="auto"/>
        <w:ind w:firstLine="575" w:firstLineChars="250"/>
        <w:rPr>
          <w:rFonts w:ascii="仿宋_GB2312" w:hAnsi="仿宋_GB2312" w:eastAsia="仿宋_GB2312" w:cs="仿宋_GB2312"/>
          <w:spacing w:val="-5"/>
          <w:sz w:val="24"/>
        </w:rPr>
      </w:pPr>
      <w:r>
        <w:rPr>
          <w:rFonts w:hint="eastAsia" w:ascii="仿宋_GB2312" w:hAnsi="仿宋_GB2312" w:eastAsia="仿宋_GB2312" w:cs="仿宋_GB2312"/>
          <w:spacing w:val="-5"/>
          <w:sz w:val="24"/>
        </w:rPr>
        <w:t>（产品相关功能及配置）</w:t>
      </w:r>
    </w:p>
    <w:p w14:paraId="590A7256">
      <w:pPr>
        <w:pStyle w:val="2"/>
        <w:ind w:firstLine="48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总体要求：</w:t>
      </w:r>
    </w:p>
    <w:p w14:paraId="00D127C2"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1、具有安全机制完成用户的认证、授权和数据保密，提供服务访问权限控制。</w:t>
      </w:r>
    </w:p>
    <w:p w14:paraId="72EF0122"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2、提供不同级别，不同故障情况下的应用系统的技术实现方案，避免因故障导致的医疗工作的延迟和医疗差错。</w:t>
      </w:r>
    </w:p>
    <w:p w14:paraId="560B7661"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3、软件产品稳定，具有自主知识产权，功能模块齐全，符合应用规范，满足业务需求。</w:t>
      </w:r>
    </w:p>
    <w:p w14:paraId="10C94461"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4、终端用户操作性能指标：系统要体现易于理解掌握、操作简单、提示清晰、逻辑性强、直观简洁等特点。并针对</w:t>
      </w:r>
      <w:bookmarkStart w:id="3" w:name="OLE_LINK11"/>
      <w:bookmarkStart w:id="4" w:name="OLE_LINK10"/>
      <w:r>
        <w:rPr>
          <w:rFonts w:hint="eastAsia" w:ascii="仿宋_GB2312" w:hAnsi="仿宋_GB2312" w:eastAsia="仿宋_GB2312" w:cs="仿宋_GB2312"/>
          <w:sz w:val="24"/>
        </w:rPr>
        <w:t>医院查看项目的特点对查看顺序专门定制，保证操作人员以最快速度和最少的击键次数</w:t>
      </w:r>
      <w:bookmarkEnd w:id="3"/>
      <w:bookmarkEnd w:id="4"/>
      <w:r>
        <w:rPr>
          <w:rFonts w:hint="eastAsia" w:ascii="仿宋_GB2312" w:hAnsi="仿宋_GB2312" w:eastAsia="仿宋_GB2312" w:cs="仿宋_GB2312"/>
          <w:sz w:val="24"/>
        </w:rPr>
        <w:t>完成工作。</w:t>
      </w:r>
    </w:p>
    <w:p w14:paraId="35E548D0"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5、</w:t>
      </w:r>
      <w:r>
        <w:rPr>
          <w:rFonts w:hint="eastAsia" w:ascii="仿宋_GB2312" w:hAnsi="仿宋_GB2312" w:eastAsia="仿宋_GB2312" w:cs="仿宋_GB2312"/>
          <w:sz w:val="24"/>
        </w:rPr>
        <w:t>支持至少2000人同时在线，不限制用户使用数量，除影像等特殊页面的响应时间小于2秒，影像等特殊页面响应时间小于5秒。</w:t>
      </w:r>
    </w:p>
    <w:p w14:paraId="7EEA9CC3"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6、刷新功能：支持页面刷新，用于查看患者最新信息。</w:t>
      </w:r>
    </w:p>
    <w:p w14:paraId="098CE9EB"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7、放大功能：为方便医务人员查看密集型数据，针对报告页面可进行一定</w:t>
      </w:r>
      <w:r>
        <w:rPr>
          <w:rFonts w:hint="eastAsia" w:ascii="仿宋_GB2312" w:hAnsi="仿宋_GB2312" w:eastAsia="仿宋_GB2312" w:cs="仿宋_GB2312"/>
          <w:sz w:val="24"/>
        </w:rPr>
        <w:t>比例的放大操作。</w:t>
      </w:r>
    </w:p>
    <w:p w14:paraId="7DF68042"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8、支持切换关怀模式，满足大龄医务工作者的需求。</w:t>
      </w:r>
    </w:p>
    <w:tbl>
      <w:tblPr>
        <w:tblStyle w:val="7"/>
        <w:tblW w:w="92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665"/>
        <w:gridCol w:w="6030"/>
      </w:tblGrid>
      <w:tr w14:paraId="6400C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74A36467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模块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3B4FAA25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功能</w:t>
            </w:r>
          </w:p>
        </w:tc>
        <w:tc>
          <w:tcPr>
            <w:tcW w:w="6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7A3F287A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要求</w:t>
            </w:r>
          </w:p>
        </w:tc>
      </w:tr>
      <w:tr w14:paraId="72990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92AC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1、基础平台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C02F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1.1移动端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BA229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实现在移动端查看患者各类信息，包括在Android平台、IOS平台、鸿蒙平台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6.0及以上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等移动设备终端上运行。</w:t>
            </w:r>
          </w:p>
        </w:tc>
      </w:tr>
      <w:tr w14:paraId="4E84A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E0F7C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4F2F8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1.2后台管理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9F5B9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实现后台管理对用户进行管理，包括鉴权和权限管理。</w:t>
            </w:r>
          </w:p>
        </w:tc>
      </w:tr>
      <w:tr w14:paraId="3C3E8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D54E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4EE1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F09F9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实现对医生权限进行增加、修改、删除等操作。</w:t>
            </w:r>
          </w:p>
        </w:tc>
      </w:tr>
      <w:tr w14:paraId="348CD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8336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838D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8EB04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实现对医务人员数据的维护功能，如同一个用户分配多个院区/科室，使其登录系统时随着不同的登录院区/科室而查看权限下的患者各类信息。</w:t>
            </w:r>
          </w:p>
        </w:tc>
      </w:tr>
      <w:tr w14:paraId="57AED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092F9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30FB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1.3移动设备管理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F5864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对用户使用的移动设备进行管理，管理内容包括增加、删除、修改等操作。</w:t>
            </w:r>
          </w:p>
        </w:tc>
      </w:tr>
      <w:tr w14:paraId="5DCE9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3BE2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208AC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1.4访问管理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3A505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对用户访问行为进行日志留痕。</w:t>
            </w:r>
          </w:p>
        </w:tc>
      </w:tr>
      <w:tr w14:paraId="6F163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5492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2、安全防护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4BAE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2.1页面水印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235CA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在所有涉及患者信息的页面，背景水印显示当前登录用户信息。</w:t>
            </w:r>
          </w:p>
        </w:tc>
      </w:tr>
      <w:tr w14:paraId="10611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9438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FAEC4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2.2登录安全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05531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通过用户名、移动设备进行绑定，同时对用户登录时进行密码验证。</w:t>
            </w:r>
          </w:p>
        </w:tc>
      </w:tr>
      <w:tr w14:paraId="2F8B8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7273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8E8DD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A2573">
            <w:pPr>
              <w:tabs>
                <w:tab w:val="left" w:pos="1022"/>
              </w:tabs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手机用户在首次登录时，输入用户名（医生工号）和手机号码，通过发送短息验证码进行验证，强制修改密码，并对密码复杂度进行验证，如要求字母+数字+特殊符号等。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提醒90天至少更新密码一次。</w:t>
            </w:r>
          </w:p>
        </w:tc>
      </w:tr>
      <w:tr w14:paraId="28BBC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D44ED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9F40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2.3设备绑定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40975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通过设备号绑定移动设备，后台授权确认。</w:t>
            </w:r>
          </w:p>
        </w:tc>
      </w:tr>
      <w:tr w14:paraId="02C2E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21489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A9726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5C4E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用户用不同的移动设备登录时，需要通过后台管理员授权，修改设备用户绑定关系。</w:t>
            </w:r>
          </w:p>
        </w:tc>
      </w:tr>
      <w:tr w14:paraId="36453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FE084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3、手机端查看功能</w:t>
            </w: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4E8D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3.1注册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57C7A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实现用户通过用户名（医生工号）、手机号码、密码三者信息合并注册医生端APP。</w:t>
            </w:r>
          </w:p>
        </w:tc>
      </w:tr>
      <w:tr w14:paraId="1E375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A44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B891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63761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实现通过后台web端查询、配置医生端APP登录账号。</w:t>
            </w:r>
          </w:p>
        </w:tc>
      </w:tr>
      <w:tr w14:paraId="08F9D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C86F9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2E42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3.2登录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6D8DA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实现用户通过用户名（医生工号）+手机号码+密码的方式登录医生端APP；实现安全设置。</w:t>
            </w:r>
          </w:p>
        </w:tc>
      </w:tr>
      <w:tr w14:paraId="7A355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4551E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2650C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3.3退出登录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B4EA8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点击关闭键实现退出当前登录的账号。</w:t>
            </w:r>
          </w:p>
        </w:tc>
      </w:tr>
      <w:tr w14:paraId="4FAEA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E836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3108D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3.4搜索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EFC36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实现按照患者姓名或住院号等方式搜索定位患者。</w:t>
            </w:r>
          </w:p>
        </w:tc>
      </w:tr>
      <w:tr w14:paraId="4ECC0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F04A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281B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3.5分组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62311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实现查看用户名（医生工号）权限对应院区/科室的患者各类信息。</w:t>
            </w:r>
          </w:p>
        </w:tc>
      </w:tr>
      <w:tr w14:paraId="78CE0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2303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F86BE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0F0AE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实现查看用户名（医生工号）所属医生的患者各类信息。</w:t>
            </w:r>
          </w:p>
        </w:tc>
      </w:tr>
      <w:tr w14:paraId="0ED00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B0B0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23C3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C164A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实现查看出院患者各类信息。</w:t>
            </w:r>
          </w:p>
        </w:tc>
      </w:tr>
      <w:tr w14:paraId="2CAE3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ADCA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0628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025FE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实现查看门诊患者各类信息。</w:t>
            </w:r>
          </w:p>
        </w:tc>
      </w:tr>
      <w:tr w14:paraId="3B285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30014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6D390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EFC0D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实现查看收藏的患者各类信息。</w:t>
            </w:r>
          </w:p>
        </w:tc>
      </w:tr>
      <w:tr w14:paraId="2DCBA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E6220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72970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3.6既往病史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D6FEC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实现查阅当前患者的历史门诊记录，包括患者基本信息、就诊卡号、挂号科室、挂号类型、看诊时间、看诊医生、诊断、处方等信息。</w:t>
            </w:r>
          </w:p>
        </w:tc>
      </w:tr>
      <w:tr w14:paraId="5B9A1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7554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0A95E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E43C2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实现查阅当前患者的历史住院记录，包括患者基本信息、住院号、病案号、入院天数、护理级别、入院日期、住院科室、病区床号、住院医师、责任护士、入院诊断等。</w:t>
            </w:r>
          </w:p>
        </w:tc>
      </w:tr>
      <w:tr w14:paraId="04705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3EDA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17DE9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7FD61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进入患者详情页面后，医生查看患者的全部病史，也可以点击按钮切换查看住院病史或门诊病史，点击病史记录则可查看详细的数据信息。</w:t>
            </w:r>
          </w:p>
        </w:tc>
      </w:tr>
      <w:tr w14:paraId="29095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3416D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1DCD9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3.7首页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23A09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实现查阅当前患者的门诊记录，包括患者基本信息、就诊卡号、挂号科室、挂号类型、看诊时间、看诊医生、诊断、门诊病例、处方等信息。</w:t>
            </w:r>
          </w:p>
        </w:tc>
      </w:tr>
      <w:tr w14:paraId="501B6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6563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583F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3B534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实现查阅当前患者的住院记录，包括患者基本信息、住院号、病案号、入院天数、护理级别、入院日期、住院科室、病区床号、住院医师、责任护士、入院诊断等。</w:t>
            </w:r>
          </w:p>
        </w:tc>
      </w:tr>
      <w:tr w14:paraId="07EB9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570C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36C96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9937B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实现查阅当前患者的住院医师，点击看诊医生的姓名,并与看诊/住院医师发起文字会话或语音通话了解患者更多信息。</w:t>
            </w:r>
          </w:p>
        </w:tc>
      </w:tr>
      <w:tr w14:paraId="7147B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E0004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39DC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8ACBE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实现查阅当前患者的住院费用，包括总费用、预交款、医保类型以及详细的费用明细（按照核算项目展示，如西药费、成药费、检查费等）。</w:t>
            </w:r>
          </w:p>
        </w:tc>
      </w:tr>
      <w:tr w14:paraId="0F85C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48AD0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E3EA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583FF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医生查看不同分组的患者，包括在院患者、入院患者、出院患者、我的患者以及收藏患者。</w:t>
            </w:r>
          </w:p>
        </w:tc>
      </w:tr>
      <w:tr w14:paraId="4C3C4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A9779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1B72E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D185B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每个分组下展示不同科室的患者，点击患者即可查看该患者的详细数据。</w:t>
            </w:r>
          </w:p>
        </w:tc>
      </w:tr>
      <w:tr w14:paraId="758E0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D9804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DB98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3.8病历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35558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医生通过文书类型快速查找浏览患者相关文书。</w:t>
            </w:r>
          </w:p>
        </w:tc>
      </w:tr>
      <w:tr w14:paraId="62902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8B29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82C30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40568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实现查阅患者的病历记录，按照病历分类展示，包括入院记录、首次病程记录、查房记录、日常病程记录、手术记录、出院记录等详细情况。</w:t>
            </w:r>
          </w:p>
        </w:tc>
      </w:tr>
      <w:tr w14:paraId="6EF44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6575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202E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6C870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点击相应文书即可查看此次文书记录的详细信息。</w:t>
            </w:r>
          </w:p>
        </w:tc>
      </w:tr>
      <w:tr w14:paraId="1D7E1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DAA5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BCC2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3.9医嘱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3CF22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实现长期医嘱、临时医嘱之间进行页面切换；实现开立各类医嘱。</w:t>
            </w:r>
          </w:p>
        </w:tc>
      </w:tr>
      <w:tr w14:paraId="52D51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6FAC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084A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EADE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实现医生按照所筛选日期范围、开嘱医生、医嘱类型等方式查看患者的临时医嘱，并查看医嘱的开立、执行、停止等状态。</w:t>
            </w:r>
          </w:p>
        </w:tc>
      </w:tr>
      <w:tr w14:paraId="7C121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508C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DD36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47AA6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实现医生按照所筛选日期范围、开嘱医生、医嘱类型等方式查看住院患者的长期医嘱信息，并查看医嘱的开立、执行、停止等状态。</w:t>
            </w:r>
          </w:p>
        </w:tc>
      </w:tr>
      <w:tr w14:paraId="6A4A9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0E6B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1236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7DD1D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实现医生点击某条医嘱查看当前医嘱的详细情况。</w:t>
            </w:r>
          </w:p>
        </w:tc>
      </w:tr>
      <w:tr w14:paraId="6A546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B7C0C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2BDA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2EC6A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实现查阅患者的长期医嘱，包括每天的详细数据，如执行时间、执行人、是否有效等。</w:t>
            </w:r>
          </w:p>
        </w:tc>
      </w:tr>
      <w:tr w14:paraId="0D75B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77D9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B06C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05EE7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实现查阅患者的临时医嘱，包括每天的详细数据，如执行时间、执行人、是否有效等。</w:t>
            </w:r>
          </w:p>
        </w:tc>
      </w:tr>
      <w:tr w14:paraId="658CF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4E1D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8359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3.10检验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BD450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医生根据项目分类查询单项检验结果折线图以及历次结果对比，具体包括查询检验列表，查询检验结果详情。</w:t>
            </w:r>
          </w:p>
        </w:tc>
      </w:tr>
      <w:tr w14:paraId="60BFC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70769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443AD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5197E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实现医生查询某条检验数据的详情及结果，列表按照时间倒序排列，有异常指标的检验项目用特殊标记进行提醒，查看患者的检验异常数据。</w:t>
            </w:r>
          </w:p>
        </w:tc>
      </w:tr>
      <w:tr w14:paraId="4A370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CA22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6C4A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43EB8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点击查看检验单详情，每项指标点击自动生成患者在本院历次就诊的指标变化趋势图，在所筛选时间区间查看某项检验结果的数据波动。</w:t>
            </w:r>
          </w:p>
        </w:tc>
      </w:tr>
      <w:tr w14:paraId="68C99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7E5C9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71926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CAB6F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点击报告可查看详细的数据，包括每个检验项的名称、单位、结果、参考值及状态。</w:t>
            </w:r>
          </w:p>
        </w:tc>
      </w:tr>
      <w:tr w14:paraId="74617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F0FA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96406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3.11检查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EFD8A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医生根据项目分类查询检查结果详情，具体包括查询检查列表。</w:t>
            </w:r>
          </w:p>
        </w:tc>
      </w:tr>
      <w:tr w14:paraId="231B2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9DE99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D8AF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826F3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医生查询患者当次就诊的检查列表，列表按照时间倒序排列。</w:t>
            </w:r>
          </w:p>
        </w:tc>
      </w:tr>
      <w:tr w14:paraId="21628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42EAC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F6F1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6F504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每条数据包括各项检查结果，若有检查报告则会有相关报告链接，若有检查图像亦有相关检查图像链接，实现医生点击查看相关报告及图像。</w:t>
            </w:r>
          </w:p>
        </w:tc>
      </w:tr>
      <w:tr w14:paraId="74DA3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25635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20E7E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2A615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查看检查报告结果详情、检查报告、检查图像等。</w:t>
            </w:r>
          </w:p>
        </w:tc>
      </w:tr>
      <w:tr w14:paraId="22BA5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0B7A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2F5DC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ED190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点击检查列表中某条数据，实现医生查看此次结果的详情，详情包括检查的基本信息、检查所见、检查详情以及诊断意见等。</w:t>
            </w:r>
          </w:p>
        </w:tc>
      </w:tr>
      <w:tr w14:paraId="01321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860B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AE2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3.12影像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D5EFE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实现查阅检查项目的影像，方便医生对影像进行详细地查看及分析。</w:t>
            </w:r>
          </w:p>
        </w:tc>
      </w:tr>
      <w:tr w14:paraId="1F4DE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70AD0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6D5A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3.13心电图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E87D6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实现查阅患者的心电图，包括患者基本信息、检查时间、心电图结果等信息。</w:t>
            </w:r>
          </w:p>
        </w:tc>
      </w:tr>
      <w:tr w14:paraId="69E77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4F8E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CBCB0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F6375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实现查看心电图图像。</w:t>
            </w:r>
          </w:p>
        </w:tc>
      </w:tr>
      <w:tr w14:paraId="27CCF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80F3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BD3A0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3.14病理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24850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实现查看病理报告。</w:t>
            </w:r>
          </w:p>
        </w:tc>
      </w:tr>
      <w:tr w14:paraId="0AFE8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8D5B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BD15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B5DE9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实现查阅患者的病理报告详情，包括患者基本信息、检查科室、报告医生、图像及病理诊断等。</w:t>
            </w:r>
          </w:p>
        </w:tc>
      </w:tr>
      <w:tr w14:paraId="6BFC1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151F4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1DCA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3.15手术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AB270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实现查阅患者的手术记录，包括患者基本信息、手术安排、手术名称、麻醉方式、术前诊断、开始时间、结束时间等详细数据。</w:t>
            </w:r>
          </w:p>
        </w:tc>
      </w:tr>
      <w:tr w14:paraId="56BA3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126FE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1C3A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3.16护理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BAE4B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实现查阅患者的护理记录，按照护理时间排序，包括护理时间、记录人、脉搏、心率、呼吸、血压、体温、措施等信息。</w:t>
            </w:r>
          </w:p>
        </w:tc>
      </w:tr>
      <w:tr w14:paraId="46C22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BBB65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0D834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2F371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查阅数据时在筛选时间范围内查看折线图或柱状图，可自由拖动时间轴选择相应的时间范围。</w:t>
            </w:r>
          </w:p>
        </w:tc>
      </w:tr>
      <w:tr w14:paraId="1D233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34105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2236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4DDF1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实现显示患者生命体征，默认显示当前患者全部的生命体征趋势图，趋势图中显示所筛选时间范围内的生命体征。</w:t>
            </w:r>
          </w:p>
        </w:tc>
      </w:tr>
      <w:tr w14:paraId="5B75F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708C5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8500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3.17会诊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2C396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实现查询患者的会诊记录。</w:t>
            </w:r>
          </w:p>
        </w:tc>
      </w:tr>
      <w:tr w14:paraId="4B30D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FE7F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2320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67E87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用户可根据所需日期进行筛选。</w:t>
            </w:r>
          </w:p>
        </w:tc>
      </w:tr>
      <w:tr w14:paraId="7DD14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1CF18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2A795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3CD22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查看此次就诊的会诊列表中某一条会诊记录的详细信息，详细信息包括患者基本信息，病情摘要、会诊目的，主要诊断，会诊状态等；实现录入会诊意见。</w:t>
            </w:r>
          </w:p>
        </w:tc>
      </w:tr>
      <w:tr w14:paraId="07EB1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BA4DE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0B87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3.18危急值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22CBD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实现查询患者的危急值。实现危急值提醒。</w:t>
            </w:r>
          </w:p>
        </w:tc>
      </w:tr>
      <w:tr w14:paraId="0B18C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8300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6730D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887A7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用户可根据所需日期进行筛选。</w:t>
            </w:r>
          </w:p>
        </w:tc>
      </w:tr>
      <w:tr w14:paraId="17D6C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5F45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ACD2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DF398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实现医生按照所需日期查看有危急值的病人列表。</w:t>
            </w:r>
          </w:p>
        </w:tc>
      </w:tr>
      <w:tr w14:paraId="00D8D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B18C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1687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0D06E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点击危急值的某条数据之后可查看此次危急值的详情信息。</w:t>
            </w:r>
          </w:p>
        </w:tc>
      </w:tr>
      <w:tr w14:paraId="07486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9672D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7DC0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3.19收藏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FC940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实现收藏患者功能，医生对特殊患者或需要频繁查看患者信息时，选择收藏进行重点关注。</w:t>
            </w:r>
          </w:p>
        </w:tc>
      </w:tr>
      <w:tr w14:paraId="3F305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36FB4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1520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49B8D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再次查阅该患者信息时只需要点击“我的”即可快速找到该患者，快速调阅关注患者的检验、检查、病历等各类信息。</w:t>
            </w:r>
          </w:p>
        </w:tc>
      </w:tr>
      <w:tr w14:paraId="4A2A8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2663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82525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5DC21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不再对该患者进行重点关注或频繁查阅信息时，选择取消收藏该患者。</w:t>
            </w:r>
          </w:p>
        </w:tc>
      </w:tr>
      <w:tr w14:paraId="05F99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936E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4、全院患者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B31D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4.1全院患者入口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34E8F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实现点击查看当前所有在院患者的信息，严格进行权限控制，只允许具有该权限的用户进行查询操作。</w:t>
            </w:r>
          </w:p>
        </w:tc>
      </w:tr>
      <w:tr w14:paraId="62757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1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E2F9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5、患者管理</w:t>
            </w: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3EF98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5.1我的患者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B8836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默认展现该医生分管的所有患者信息，按照住院号或床位号等方式进行排序，列表页显示每一位患者的基本信息，如性别，姓名，住院号，床位号，年龄，诊断，病情，护理等级等。</w:t>
            </w:r>
          </w:p>
        </w:tc>
      </w:tr>
      <w:tr w14:paraId="36240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00450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25E4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8D018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患者详情页，展现患者的所有信息，如基础信息、诊断信息、手术信息、住院信息等。</w:t>
            </w:r>
          </w:p>
        </w:tc>
      </w:tr>
      <w:tr w14:paraId="05897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74EA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04ADC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4A1A0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患者详情页，展现该患者病历，医嘱，检验，检查，护理记录，病案首页，费用详情查询。</w:t>
            </w:r>
          </w:p>
        </w:tc>
      </w:tr>
      <w:tr w14:paraId="28685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98E7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A4556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2EE9B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我的患者里，展现该账号管床的所有未出院患者。</w:t>
            </w:r>
          </w:p>
        </w:tc>
      </w:tr>
      <w:tr w14:paraId="05409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860E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AB905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5.2科室患者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89748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默认展现本科室（或权限范围内所有科室）的目前所有在院患者。</w:t>
            </w:r>
          </w:p>
        </w:tc>
      </w:tr>
      <w:tr w14:paraId="7367B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54096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B7756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DE499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实现医生根据医生住院权限，在多个院区、住院科室之间进行切换。</w:t>
            </w:r>
          </w:p>
        </w:tc>
      </w:tr>
      <w:tr w14:paraId="278D6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B4AC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1075E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46ED9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可以查看本科室（或权限范围内所有科室）的目前所有在院患者。</w:t>
            </w:r>
          </w:p>
        </w:tc>
      </w:tr>
      <w:tr w14:paraId="1D890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9E43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589B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0389F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展示患者列表，每位患者的信息以病人信息、床号、病案首页、病程记录、医嘱、检验、检查等基本信息进行展示：</w:t>
            </w:r>
          </w:p>
        </w:tc>
      </w:tr>
      <w:tr w14:paraId="03B99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FB596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5F3EA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B293A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医生通过搜索功能，输入患者姓名或住院号进行精确查找，快速找到患者，点击患者即可查看详细数据。</w:t>
            </w:r>
          </w:p>
        </w:tc>
      </w:tr>
      <w:tr w14:paraId="79627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153D5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B585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5906C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病程记录内容按照时间顺序排列。</w:t>
            </w:r>
          </w:p>
        </w:tc>
      </w:tr>
      <w:tr w14:paraId="066BC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DB0E3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7D666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8CA09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医嘱按照当前医嘱、临时医嘱、长期医嘱、全部医嘱标签进行管理。</w:t>
            </w:r>
          </w:p>
        </w:tc>
      </w:tr>
      <w:tr w14:paraId="5E08E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D0918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2DA19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5DF00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各项检验结果按照时间顺序进行排列。</w:t>
            </w:r>
          </w:p>
        </w:tc>
      </w:tr>
      <w:tr w14:paraId="5B950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ED6BE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0F272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1B477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检查结果默认显示文字结论。</w:t>
            </w:r>
          </w:p>
        </w:tc>
      </w:tr>
      <w:tr w14:paraId="32CC5E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F0597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66E5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2C1AB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实现医生查询患者基本信息，患者所在病区，患者费用使用情况等基本信息。</w:t>
            </w:r>
          </w:p>
        </w:tc>
      </w:tr>
      <w:tr w14:paraId="39E2C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4F924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6C3D6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3E487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医生可选择查看患者的此次诊断详细信息、查看本患者历次诊断信息。历史诊断信息包括诊断描述，诊断类型及日期时间等信息。</w:t>
            </w:r>
          </w:p>
        </w:tc>
      </w:tr>
      <w:tr w14:paraId="1876E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4B555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D5C5C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5.3其他患者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D3780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默认显示非本科室，根据医院需求展示该账号医生参与过的会诊患者。</w:t>
            </w:r>
          </w:p>
        </w:tc>
      </w:tr>
      <w:tr w14:paraId="5214A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B1EC4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81CC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5.4出院患者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57E8D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按照医院要求设置查看时间段内显示出院患者。</w:t>
            </w:r>
          </w:p>
        </w:tc>
      </w:tr>
      <w:tr w14:paraId="31225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608B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9D69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AEF12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提供住院号或姓名查找功能，查找已出院的患者的信息。</w:t>
            </w:r>
          </w:p>
        </w:tc>
      </w:tr>
      <w:tr w14:paraId="7AFA2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5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22461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6、接口</w:t>
            </w:r>
          </w:p>
        </w:tc>
        <w:tc>
          <w:tcPr>
            <w:tcW w:w="16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A5E80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6.1接口</w:t>
            </w: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8365C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与医院相关系统紧密无缝连接，能够自动获取患者基本信息、病历、医嘱、检验、检查等信息。</w:t>
            </w:r>
          </w:p>
        </w:tc>
      </w:tr>
      <w:tr w14:paraId="7AB6B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5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E6C7B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4A0FF">
            <w:pPr>
              <w:widowControl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12936">
            <w:pPr>
              <w:widowControl/>
              <w:spacing w:line="4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系统与医院业务系统对接，包括但不限于电子病历系统、HIS系统、集成平台、LIS系统、PACS系统、智慧护理、心电系统、病理系统、手麻系统、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数字签名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等。</w:t>
            </w:r>
          </w:p>
        </w:tc>
      </w:tr>
    </w:tbl>
    <w:p w14:paraId="5FDE9F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@MS PMincho">
    <w:panose1 w:val="02020600040205080304"/>
    <w:charset w:val="80"/>
    <w:family w:val="roman"/>
    <w:pitch w:val="default"/>
    <w:sig w:usb0="E00002FF" w:usb1="6AC7FDFB" w:usb2="00000012" w:usb3="00000000" w:csb0="400200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700B6">
    <w:pPr>
      <w:pStyle w:val="6"/>
      <w:tabs>
        <w:tab w:val="left" w:pos="960"/>
        <w:tab w:val="center" w:pos="4787"/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2493B8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69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2493B8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69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76A30"/>
    <w:rsid w:val="5ACE7504"/>
    <w:rsid w:val="6547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1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6"/>
    <w:basedOn w:val="1"/>
    <w:next w:val="1"/>
    <w:qFormat/>
    <w:uiPriority w:val="1"/>
    <w:pPr>
      <w:ind w:left="215"/>
      <w:outlineLvl w:val="5"/>
    </w:pPr>
    <w:rPr>
      <w:b/>
      <w:bCs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cs="Calibri"/>
      <w:szCs w:val="21"/>
    </w:rPr>
  </w:style>
  <w:style w:type="paragraph" w:styleId="4">
    <w:name w:val="Body Text"/>
    <w:basedOn w:val="1"/>
    <w:qFormat/>
    <w:uiPriority w:val="0"/>
    <w:rPr>
      <w:rFonts w:eastAsia="Cambria Math"/>
      <w:sz w:val="22"/>
      <w:lang w:val="en-GB" w:eastAsia="ja-JP"/>
    </w:rPr>
  </w:style>
  <w:style w:type="paragraph" w:styleId="5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8280</Words>
  <Characters>8465</Characters>
  <Lines>0</Lines>
  <Paragraphs>0</Paragraphs>
  <TotalTime>0</TotalTime>
  <ScaleCrop>false</ScaleCrop>
  <LinksUpToDate>false</LinksUpToDate>
  <CharactersWithSpaces>8572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2025-12-25T05:04:00Z</dcterms:created>
  <dc:creator>Administrator</dc:creator>
  <cp:lastModifiedBy>Administrator</cp:lastModifiedBy>
  <dcterms:modified xsi:type="dcterms:W3CDTF">2025-12-29T04:28:27Z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248FE35A5206464D9A4DEAA2C02DE0A1_11</vt:lpwstr>
  </property>
  <property fmtid="{D5CDD505-2E9C-101B-9397-08002B2CF9AE}" pid="4" name="KSOTemplateDocerSaveRecord">
    <vt:lpwstr>eyJoZGlkIjoiYjMxZDk1ODY2MDY2ZGQyM2Y4NzFiYzhhMDIzNGQ5NzEiLCJ1c2VySWQiOiIzNDk5NjQzNjEifQ==</vt:lpwstr>
  </property>
</Properties>
</file>