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版本号：JXYFS-2025-03020251225001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住院儿童陪护项目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JXYFS-2025-030</w:t>
      </w:r>
      <w:r>
        <w:br/>
      </w:r>
      <w:r>
        <w:br/>
      </w:r>
      <w:r>
        <w:br/>
      </w:r>
    </w:p>
    <w:p>
      <w:pPr>
        <w:pStyle w:val="null3"/>
        <w:jc w:val="center"/>
        <w:outlineLvl w:val="2"/>
      </w:pPr>
      <w:r>
        <w:rPr>
          <w:rFonts w:ascii="仿宋_GB2312" w:hAnsi="仿宋_GB2312" w:cs="仿宋_GB2312" w:eastAsia="仿宋_GB2312"/>
          <w:sz w:val="28"/>
          <w:b/>
        </w:rPr>
        <w:t>西安市儿童福利院</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西安市儿童福利院</w:t>
      </w:r>
      <w:r>
        <w:rPr>
          <w:rFonts w:ascii="仿宋_GB2312" w:hAnsi="仿宋_GB2312" w:cs="仿宋_GB2312" w:eastAsia="仿宋_GB2312"/>
        </w:rPr>
        <w:t>委托，拟对</w:t>
      </w:r>
      <w:r>
        <w:rPr>
          <w:rFonts w:ascii="仿宋_GB2312" w:hAnsi="仿宋_GB2312" w:cs="仿宋_GB2312" w:eastAsia="仿宋_GB2312"/>
        </w:rPr>
        <w:t>住院儿童陪护项目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JXYFS-2025-030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住院儿童陪护项目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西安市儿童福利院院内养育470余名儿童，90%以上孩子身患基础病，且30%的儿 童合并3种以上疾病，住院儿童陪护项目用于促进住院儿童康复，与医 院治疗科室高度配合与良性沟通，保障儿童住院期间治疗效果。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采购包1（住院儿童陪护项目）：属于专门面向中小企业采购。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1、主体身份证明：供应商应具有独立承担民事责任的能力的企业法人、事业法人、其他组织或者自然 人,企业法人应提供营业执照等证明文件；事业法人应提供事业单位法人证、组织 机构代码证等证明文件（或统一社会信用代码的事业单位法人证）等证明文件；其 他组织应提供合法证明文件； 自然人提供身份证明文件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 定代表人参加投标只须提供法定代表人身份证）</w:t>
      </w:r>
    </w:p>
    <w:p>
      <w:pPr>
        <w:pStyle w:val="null3"/>
      </w:pPr>
      <w:r>
        <w:rPr>
          <w:rFonts w:ascii="仿宋_GB2312" w:hAnsi="仿宋_GB2312" w:cs="仿宋_GB2312" w:eastAsia="仿宋_GB2312"/>
        </w:rPr>
        <w:t>3、财务状况报告：提供2023年或2024年度经审计的财务报告（包括三表一注，成立时间至提交响应 文件截止时间不足一年的可提供成立后任意时段的资产负债表) ，或其开标前三个 月内基本存款账户开户银行出具的资信证明，或信用担保机构出具的投标担保函 ( 以上三种形式的资料提供任何一种即可）; 注：根据“【财办2022】32 号 ” 的 规 定 ， 2022 年 后 出 具 的 审 计 报 告 须 在 注 册会计师行业统一监管平台http:/ /acc.mof.gov.cn/qrcapp/search.htmltimestamp=1709602157914)进行自 动赋码验证，未赋码的视为审计报告无效</w:t>
      </w:r>
    </w:p>
    <w:p>
      <w:pPr>
        <w:pStyle w:val="null3"/>
      </w:pPr>
      <w:r>
        <w:rPr>
          <w:rFonts w:ascii="仿宋_GB2312" w:hAnsi="仿宋_GB2312" w:cs="仿宋_GB2312" w:eastAsia="仿宋_GB2312"/>
        </w:rPr>
        <w:t>4、纳税证明：供应商须提供投标截止时间6个月内任意1个月的缴税证明（税种须包含增值税或 企业所得税），纳税证明或完税证明上应有代收机构或税务机关的公章或业务专用 章（注：依法免税或零申报的供应商应提供相关文件证明）；</w:t>
      </w:r>
    </w:p>
    <w:p>
      <w:pPr>
        <w:pStyle w:val="null3"/>
      </w:pPr>
      <w:r>
        <w:rPr>
          <w:rFonts w:ascii="仿宋_GB2312" w:hAnsi="仿宋_GB2312" w:cs="仿宋_GB2312" w:eastAsia="仿宋_GB2312"/>
        </w:rPr>
        <w:t>5、社保缴纳证明：供应商须提供投标截止时间6个月内任意1个月的社会保险缴纳证明缴存单据或社 保机构开具的社会保险参保缴费情况证明（注：依法不需要缴纳社会保障资金的供 应商应提供相关文件证明）；</w:t>
      </w:r>
    </w:p>
    <w:p>
      <w:pPr>
        <w:pStyle w:val="null3"/>
      </w:pPr>
      <w:r>
        <w:rPr>
          <w:rFonts w:ascii="仿宋_GB2312" w:hAnsi="仿宋_GB2312" w:cs="仿宋_GB2312" w:eastAsia="仿宋_GB2312"/>
        </w:rPr>
        <w:t>6、履约承诺：供应商须提供具有履行合同所必需的设备和专业技术能力的承诺函；</w:t>
      </w:r>
    </w:p>
    <w:p>
      <w:pPr>
        <w:pStyle w:val="null3"/>
      </w:pPr>
      <w:r>
        <w:rPr>
          <w:rFonts w:ascii="仿宋_GB2312" w:hAnsi="仿宋_GB2312" w:cs="仿宋_GB2312" w:eastAsia="仿宋_GB2312"/>
        </w:rPr>
        <w:t>7、无重大违法记录声明：供应商应具备良好的商业信誉，提供参加政府采购活动前3年内在经营活动中没有 重大违法记录的书面声明；</w:t>
      </w:r>
    </w:p>
    <w:p>
      <w:pPr>
        <w:pStyle w:val="null3"/>
      </w:pPr>
      <w:r>
        <w:rPr>
          <w:rFonts w:ascii="仿宋_GB2312" w:hAnsi="仿宋_GB2312" w:cs="仿宋_GB2312" w:eastAsia="仿宋_GB2312"/>
        </w:rPr>
        <w:t>8、信用：供应商未被“信用中国” 网站（www .creditchina.gov.cn）列入失信被执行人和重大税收违法失信主体，未被中国政府采购网（www.ccgp.gov.cn）列入政府采 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西安市未央区新广路98号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18192501901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魏阳阳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13661228109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西安市儿童福利院</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联系人：魏阳阳</w:t>
      </w:r>
    </w:p>
    <w:p>
      <w:pPr>
        <w:pStyle w:val="null3"/>
      </w:pPr>
      <w:r>
        <w:rPr>
          <w:rFonts w:ascii="仿宋_GB2312" w:hAnsi="仿宋_GB2312" w:cs="仿宋_GB2312" w:eastAsia="仿宋_GB2312"/>
        </w:rPr>
        <w:t>联系电话：13661228109</w:t>
      </w:r>
    </w:p>
    <w:p>
      <w:pPr>
        <w:pStyle w:val="null3"/>
      </w:pPr>
      <w:r>
        <w:rPr>
          <w:rFonts w:ascii="仿宋_GB2312" w:hAnsi="仿宋_GB2312" w:cs="仿宋_GB2312" w:eastAsia="仿宋_GB2312"/>
        </w:rPr>
        <w:t>地址：陕西省西安市雁塔区雁南五路曲江影视大厦19层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西安市儿童福利院院内养育470余名儿童，90%以上孩子身患基础病，且30% 的儿童合并3种以上疾病，住院儿童陪护项目用于促进住院儿童康 复，与医院治疗科室高度配合与良性沟通，保障儿童住院期间治疗 效果，2026年住院儿童陪护服务项目招标采购金额170万元。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住院儿童陪护服务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标的名称：住院儿童陪护服务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乙方陪护公司需派专人负责对接甲方陪护服务业务，儿童入院时该负责人与甲方指定工作人员对接。在儿童急需住院时，负责人与护理人员应当在1小时内到达指定医院。</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住院期间儿童的安全由乙方全权负责，同时乙方在护理期间不得擅自带儿童离开医院，特殊情况需甲方书面同意。为确保护理儿童住院期间生活护理的安全及连续性，无特殊原因中途不得更换护理人员。如需更换，经甲方书面同意后必须做好陪护接替衔接工作，擅自更换的视为乙方违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儿童住院陪护服务项目需要包含:</w:t>
            </w:r>
          </w:p>
          <w:p>
            <w:pPr>
              <w:pStyle w:val="null3"/>
              <w:jc w:val="both"/>
            </w:pPr>
            <w:r>
              <w:rPr>
                <w:rFonts w:ascii="仿宋_GB2312" w:hAnsi="仿宋_GB2312" w:cs="仿宋_GB2312" w:eastAsia="仿宋_GB2312"/>
                <w:sz w:val="18"/>
              </w:rPr>
              <w:t>1、陪护人员应在甲方的授权范围内开展工作，负责儿童住院期间的饮食照顾，记录陪护患儿一日三餐的真实情况，甲方会不定期对用餐记录进行核查，乙方需积极配合提供相关资料。经甲方核查，如不合理或乙方无法提供用餐记录、 陪护记录或记录明显存在错误、疏漏、重复，甲方不予支付相应期间的陪护费用且有权追究乙方的违约责任。陪护公司为儿童代买的一日三餐，于儿童出院后开具正规的儿童饮食费增值税发票。</w:t>
            </w:r>
          </w:p>
          <w:p>
            <w:pPr>
              <w:pStyle w:val="null3"/>
              <w:jc w:val="both"/>
            </w:pPr>
            <w:r>
              <w:rPr>
                <w:rFonts w:ascii="仿宋_GB2312" w:hAnsi="仿宋_GB2312" w:cs="仿宋_GB2312" w:eastAsia="仿宋_GB2312"/>
                <w:sz w:val="18"/>
              </w:rPr>
              <w:t>2、出现紧急情况产生合理的应急日杂费用(如患儿手术、急诊所需的护理垫等)，在甲方工作人员同意后，需由陪护公司先行支付应急日杂费用，并留存好相关用品小票或单据，在结算时提供小票或单据，儿童出院后由乙方开具正式增值税发票。</w:t>
            </w:r>
          </w:p>
          <w:p>
            <w:pPr>
              <w:pStyle w:val="null3"/>
              <w:jc w:val="both"/>
            </w:pPr>
            <w:r>
              <w:rPr>
                <w:rFonts w:ascii="仿宋_GB2312" w:hAnsi="仿宋_GB2312" w:cs="仿宋_GB2312" w:eastAsia="仿宋_GB2312"/>
                <w:sz w:val="18"/>
              </w:rPr>
              <w:t>3.陪护公司陪护儿童的护理人员应进行完备的登记记录工作，对护理记录登记造册形成陪护记录清单，将陪护儿童实际发生的饮食费用、手术应急辅材杂费分别列示，定期与甲方核对确认，并开具相对应增值税发票。</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护理人员的吃住、交通费及一切福利待遇用均由陪护公司自理。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乙方陪护公司应当对陪护人员加强培训和考核，所有陪护人员持证上岗，以此保障陪护患儿的日常生活与安全。陪护患儿期间应服从病房医务人员的业务指导，积极配合医院治疗工作，同时应主动接受甲方的检查、监督及指导</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陪护公司应对每位陪护人员购买意外险，并进行岗前培训，获得陪护公司的培训上岗证，并对陪护人员定期体检，并提供体检报告单，确保能够胜任儿童医院陪护工作。陪护公司需与其委派的陪护人员建立合法有效的劳动关系， 足额缴纳社保及支付劳动报酬，不得擅自转委托或变相转委托。</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陪护公司应做好岗前培训工作，管理教育陪护人员爱岗敬业和责任心，要求对住院患儿要有爱心和耐心，让患儿感受到家庭般的亲情和温暖，以便更好地配合医院治疗。陪护公司为每位陪护人员购买意外保险并提供保险合同</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甲方所有儿童个人信息及影像资料、医疗记录等任何未经甲方公开的信息均不能发布在公开网络平台，或泄露给其他第三方机构。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2025年12月16日起至2026年12月31日或累计结算金额达到合同金额，以先到达者为准。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乙方在儿童出院后需向甲方提报费用清单，经甲方核对无误后，乙方需分陪护费、饮食费、应急日杂费等向甲方按儿童开具足额、合法的增值税发票，费用据实结算，甲方按月结算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 列第（二）种方式解决： （一）提交西安市仲裁委员会仲裁；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1.供应商报价为普通病房陪护：根据儿童住院需要实行24小时全程陪护，护理费用 元/人/ 天。 2.普通病房陪护限价为护理费用245 元/人/ 天。供应商报价不得超过此价格，否则投标无效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主体身份证明</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 人,企业法人应提供营业执照等证明文件；事业法人应提供事业单位法人证、组织 机构代码证等证明文件（或统一社会信用代码的事业单位法人证）等证明文件；其 他组织应提供合法证明文件； 自然人提供身份证明文件</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 定代表人参加投标只须提供法定代表人身份证）</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提供2023年或2024年度经审计的财务报告（包括三表一注，成立时间至提交响应 文件截止时间不足一年的可提供成立后任意时段的资产负债表) ，或其开标前三个 月内基本存款账户开户银行出具的资信证明，或信用担保机构出具的投标担保函 ( 以上三种形式的资料提供任何一种即可）; 注：根据“【财办2022】32 号 ” 的 规 定 ， 2022 年 后 出 具 的 审 计 报 告 须 在 注 册会计师行业统一监管平台http:/ /acc.mof.gov.cn/qrcapp/search.htmltimestamp=1709602157914)进行自 动赋码验证，未赋码的视为审计报告无效</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供应商须提供投标截止时间6个月内任意1个月的缴税证明（税种须包含增值税或 企业所得税），纳税证明或完税证明上应有代收机构或税务机关的公章或业务专用 章（注：依法免税或零申报的供应商应提供相关文件证明）；</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供应商须提供投标截止时间6个月内任意1个月的社会保险缴纳证明缴存单据或社 保机构开具的社会保险参保缴费情况证明（注：依法不需要缴纳社会保障资金的供 应商应提供相关文件证明）；</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 重大违法记录的书面声明；</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供应商未被“信用中国” 网站（www .creditchina.gov.cn）列入失信被执行人和重大税收违法失信主体，未被中国政府采购网（www.ccgp.gov.cn）列入政府采 购严重违法失信行为记录名单；</w:t>
            </w:r>
          </w:p>
        </w:tc>
        <w:tc>
          <w:tcPr>
            <w:tcW w:type="dxa" w:w="1661"/>
          </w:tcPr>
          <w:p>
            <w:pPr>
              <w:pStyle w:val="null3"/>
            </w:pPr>
            <w:r>
              <w:rPr>
                <w:rFonts w:ascii="仿宋_GB2312" w:hAnsi="仿宋_GB2312" w:cs="仿宋_GB2312" w:eastAsia="仿宋_GB2312"/>
              </w:rPr>
              <w:t>供应商应提交的资格审查资料.docx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响应文件格式符合磋商文件要求</w:t>
            </w:r>
          </w:p>
        </w:tc>
        <w:tc>
          <w:tcPr>
            <w:tcW w:type="dxa" w:w="1661"/>
          </w:tcPr>
          <w:p>
            <w:pPr>
              <w:pStyle w:val="null3"/>
            </w:pPr>
            <w:r>
              <w:rPr>
                <w:rFonts w:ascii="仿宋_GB2312" w:hAnsi="仿宋_GB2312" w:cs="仿宋_GB2312" w:eastAsia="仿宋_GB2312"/>
              </w:rPr>
              <w:t>响应文件封面 服务内容及服务邀请应答表 供应商应提交的资格审查资料.docx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（1）货币单位符合磋商文件要求（2）报价符合唯一性要求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w:t>
            </w:r>
          </w:p>
        </w:tc>
        <w:tc>
          <w:tcPr>
            <w:tcW w:type="dxa" w:w="3322"/>
          </w:tcPr>
          <w:p>
            <w:pPr>
              <w:pStyle w:val="null3"/>
            </w:pPr>
            <w:r>
              <w:rPr>
                <w:rFonts w:ascii="仿宋_GB2312" w:hAnsi="仿宋_GB2312" w:cs="仿宋_GB2312" w:eastAsia="仿宋_GB2312"/>
              </w:rPr>
              <w:t>完全理解并响应采购文件的要</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服务指标</w:t>
            </w:r>
          </w:p>
        </w:tc>
        <w:tc>
          <w:tcPr>
            <w:tcW w:type="dxa" w:w="2492"/>
          </w:tcPr>
          <w:p>
            <w:pPr>
              <w:pStyle w:val="null3"/>
            </w:pPr>
            <w:r>
              <w:rPr>
                <w:rFonts w:ascii="仿宋_GB2312" w:hAnsi="仿宋_GB2312" w:cs="仿宋_GB2312" w:eastAsia="仿宋_GB2312"/>
              </w:rPr>
              <w:t>评审小组将根据投标文件（响应文件）中对服务要求的响应情况，进行综合评价。一项指标不满足扣2分，扣完为止。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投标单位应根据采购内容提出服务实施方案（15分） 服务实施与质量控制方案能够完全涵盖磋商文件要求的服务范围，方案详细、服务效率时限明确、服务流程规范、服务质量优异的得15分； 服务实施与质量控制方案简单、距实际需求还有差距， 服务流程针对性较差、只能基本保证服务质量的得10分； 服务实施与质量控制方案较差、距实际需求还有差距， 服务流程缺乏针对性的得5分。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项目团队的人员配备</w:t>
            </w:r>
          </w:p>
        </w:tc>
        <w:tc>
          <w:tcPr>
            <w:tcW w:type="dxa" w:w="2492"/>
          </w:tcPr>
          <w:p>
            <w:pPr>
              <w:pStyle w:val="null3"/>
            </w:pPr>
            <w:r>
              <w:rPr>
                <w:rFonts w:ascii="仿宋_GB2312" w:hAnsi="仿宋_GB2312" w:cs="仿宋_GB2312" w:eastAsia="仿宋_GB2312"/>
              </w:rPr>
              <w:t>项目团队人员完全满足项目需求，配备完善，分工明确的得8分； 项目团队人员基本满足项目需求，配备合理，分工合理的得4分。 项目团队人员的配备简单、距服务需求仍有一定差距的得2分。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专职人员配置</w:t>
            </w:r>
          </w:p>
        </w:tc>
        <w:tc>
          <w:tcPr>
            <w:tcW w:type="dxa" w:w="2492"/>
          </w:tcPr>
          <w:p>
            <w:pPr>
              <w:pStyle w:val="null3"/>
            </w:pPr>
            <w:r>
              <w:rPr>
                <w:rFonts w:ascii="仿宋_GB2312" w:hAnsi="仿宋_GB2312" w:cs="仿宋_GB2312" w:eastAsia="仿宋_GB2312"/>
              </w:rPr>
              <w:t>项目负责人(陪护业务对接人)具备专科以上学历，且具有3年或以上相关管理工作经验，提供相关证明资料;提供得3分，未提供不得分、 陪护成员具有3年或以上相关工作经验,并提供陪护人员体检表及意外保险合同。提供得2分,未提供不得分、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服务人员岗前培训方案和在岗持续培训方案</w:t>
            </w:r>
          </w:p>
        </w:tc>
        <w:tc>
          <w:tcPr>
            <w:tcW w:type="dxa" w:w="2492"/>
          </w:tcPr>
          <w:p>
            <w:pPr>
              <w:pStyle w:val="null3"/>
            </w:pPr>
            <w:r>
              <w:rPr>
                <w:rFonts w:ascii="仿宋_GB2312" w:hAnsi="仿宋_GB2312" w:cs="仿宋_GB2312" w:eastAsia="仿宋_GB2312"/>
              </w:rPr>
              <w:t>培训方案完整、内容全面、能够充分满足本项目服务的得6分； 培训方案与服务内容内容空洞且缺乏可实施性的得3分。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企业内部管理制度健全、合理,能够充分保证服务质量，对员工的工作职责有明确的划分和奖惩制度的得8分;企业内部管理制度简单,员工的工作职责和奖惩制度不明确的得4分。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(一)内部管理与评估(5分) 有内部管理和考核激励机制得1分;有项目进度、服务质量内部评估得1分;有人员业务技能培训及组织外出学习得1分;有财务管理制度的得1分;有人员安全防范措施得1分。 未提供不得分。 (二)外部管理(3分) 有项目健全沟通机制得1分;有项目定期汇报安排得1分;有回访方案的得1分;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提供2022年至今承担的类似服务项目案例情况，提供一项案例得1分，最高得3分； 提供的业绩中有精神病人陪护及传染病陪护的得2分。 提供服务项目的完整合同或协议(复印件或扫描件作为证明材料)，合同需体现时间。</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价格分（普通病房陪护单价）统一采用低价优先法计算，即满足磋商文件要求的有效最终报价且磋商价格最低的 磋商报价为磋商基准价，其价格分为满分。其他供应商的价格分统一按照下列公式计算： 磋商报价得分=（磋商基准价／磋商报价)×20计算分数时四舍五入取小数点后两位）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详见附件：供应商应提交的资格审查资料.docx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