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版本号：0617-2522HZ378120260104001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医疗管理系统部分网络安全设备升级项目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0617-2522HZ3781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医疗管理系统部分网络安全设备升级项目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0617-2522HZ3781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医疗管理系统部分网络安全设备升级项目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拟通过本次项目建设，针对北大街院区信息安全薄弱环节进行加固，构建更高效、安全、智能的医疗服务支撑，具体内容详见第三章。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本单位证明：投标人应授权合法的人员参加投标，其中法定代表人（主要负责人）直接参加的须出具法定代表人（主要负责人）身份证并与营业执照上信息一致，法定代表人（主要负责人）委托代理人参加投标时，应提供法定代表人（主要负责人）身份证明和法定代表人（主要负责人）委托授权书（及被授权人近三个月内在本单位社保缴纳的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程佳、杨凡、张勃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采购包1：911,900.00元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0.8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拟通过本次项目建设，针对北大街院区信息安全薄弱环节进行加固，构建更高效、安全、智能的医疗服务支撑，具体内容详见第三章。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911,900.00</w:t>
      </w:r>
    </w:p>
    <w:p>
      <w:pPr>
        <w:pStyle w:val="null3"/>
      </w:pPr>
      <w:r>
        <w:rPr>
          <w:rFonts w:ascii="仿宋_GB2312" w:hAnsi="仿宋_GB2312" w:cs="仿宋_GB2312" w:eastAsia="仿宋_GB2312"/>
        </w:rPr>
        <w:t>采购包最高限价（元）: 911,900.00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医疗管理系统部分网络安全设备升级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911,900.00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标的名称：医疗管理系统部分网络安全设备升级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项目背景介绍及建设目标</w:t>
            </w:r>
          </w:p>
          <w:p>
            <w:pPr>
              <w:pStyle w:val="null3"/>
              <w:ind w:firstLine="400"/>
              <w:jc w:val="both"/>
            </w:pPr>
            <w:r>
              <w:rPr>
                <w:rFonts w:ascii="仿宋_GB2312" w:hAnsi="仿宋_GB2312" w:cs="仿宋_GB2312" w:eastAsia="仿宋_GB2312"/>
                <w:sz w:val="20"/>
              </w:rPr>
              <w:t>随着智慧医院建设逐步深入推进，患者对医疗服务的便捷性、安全性及智能化需求日益提升，同时医疗数据的爆发式增长也对系统稳定性与信息安全提出了更高要求。当前，医疗数据作为核心资产，其信息安全防护已成为保障医院持续运营的关键。为响应国家智慧医疗发展战略，满足临床实际需求，提升医疗服务质量与安全能级，拟通过本次项目建设，针对北大街院区信息安全薄弱环节进行加固，构建更高效、安全、智能的医疗服务支撑。</w:t>
            </w:r>
          </w:p>
          <w:p>
            <w:pPr>
              <w:pStyle w:val="null3"/>
              <w:ind w:firstLine="400"/>
              <w:jc w:val="both"/>
            </w:pPr>
            <w:r>
              <w:rPr>
                <w:rFonts w:ascii="仿宋_GB2312" w:hAnsi="仿宋_GB2312" w:cs="仿宋_GB2312" w:eastAsia="仿宋_GB2312"/>
                <w:sz w:val="20"/>
              </w:rPr>
              <w:t>本项目旨在通过系统性的软硬件部署与升级，实现以下目标：</w:t>
            </w:r>
          </w:p>
          <w:p>
            <w:pPr>
              <w:pStyle w:val="null3"/>
              <w:ind w:firstLine="400"/>
              <w:jc w:val="both"/>
            </w:pPr>
            <w:r>
              <w:rPr>
                <w:rFonts w:ascii="仿宋_GB2312" w:hAnsi="仿宋_GB2312" w:cs="仿宋_GB2312" w:eastAsia="仿宋_GB2312"/>
                <w:sz w:val="20"/>
              </w:rPr>
              <w:t>1.强化安全保障体系：通过医、护、患信息安全加固，构建全链条信息防护机制。</w:t>
            </w:r>
          </w:p>
          <w:p>
            <w:pPr>
              <w:pStyle w:val="null3"/>
              <w:ind w:firstLine="400"/>
              <w:jc w:val="both"/>
            </w:pPr>
            <w:r>
              <w:rPr>
                <w:rFonts w:ascii="仿宋_GB2312" w:hAnsi="仿宋_GB2312" w:cs="仿宋_GB2312" w:eastAsia="仿宋_GB2312"/>
                <w:sz w:val="20"/>
              </w:rPr>
              <w:t>2.保障系统稳定运行：通过多维度的安全防护体系建设，推动医院向 “服务更智能、数据更安全、运营更可靠” 的智慧化医疗机构转型，为患者提供更高质量的医疗服务。</w:t>
            </w:r>
          </w:p>
          <w:p>
            <w:pPr>
              <w:pStyle w:val="null3"/>
              <w:jc w:val="left"/>
            </w:pPr>
            <w:r>
              <w:rPr>
                <w:rFonts w:ascii="仿宋_GB2312" w:hAnsi="仿宋_GB2312" w:cs="仿宋_GB2312" w:eastAsia="仿宋_GB2312"/>
                <w:sz w:val="20"/>
                <w:b/>
              </w:rPr>
              <w:t>二、</w:t>
            </w:r>
            <w:r>
              <w:rPr>
                <w:rFonts w:ascii="仿宋_GB2312" w:hAnsi="仿宋_GB2312" w:cs="仿宋_GB2312" w:eastAsia="仿宋_GB2312"/>
                <w:sz w:val="20"/>
                <w:b/>
              </w:rPr>
              <w:t>硬件</w:t>
            </w:r>
            <w:r>
              <w:rPr>
                <w:rFonts w:ascii="仿宋_GB2312" w:hAnsi="仿宋_GB2312" w:cs="仿宋_GB2312" w:eastAsia="仿宋_GB2312"/>
                <w:sz w:val="20"/>
                <w:b/>
              </w:rPr>
              <w:t>建设</w:t>
            </w:r>
            <w:r>
              <w:rPr>
                <w:rFonts w:ascii="仿宋_GB2312" w:hAnsi="仿宋_GB2312" w:cs="仿宋_GB2312" w:eastAsia="仿宋_GB2312"/>
                <w:sz w:val="20"/>
                <w:b/>
              </w:rPr>
              <w:t>总</w:t>
            </w:r>
            <w:r>
              <w:rPr>
                <w:rFonts w:ascii="仿宋_GB2312" w:hAnsi="仿宋_GB2312" w:cs="仿宋_GB2312" w:eastAsia="仿宋_GB2312"/>
                <w:sz w:val="20"/>
                <w:b/>
              </w:rPr>
              <w:t>清单</w:t>
            </w:r>
          </w:p>
          <w:tbl>
            <w:tblPr>
              <w:tblInd w:type="dxa" w:w="120"/>
              <w:tblBorders>
                <w:top w:val="none" w:color="000000" w:sz="4"/>
                <w:left w:val="none" w:color="000000" w:sz="4"/>
                <w:bottom w:val="none" w:color="000000" w:sz="4"/>
                <w:right w:val="none" w:color="000000" w:sz="4"/>
                <w:insideH w:val="none"/>
                <w:insideV w:val="none"/>
              </w:tblBorders>
            </w:tblPr>
            <w:tblGrid>
              <w:gridCol w:w="291"/>
              <w:gridCol w:w="2262"/>
            </w:tblGrid>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名称</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西安市中心医院医疗管理系统部分网络安全设备升级</w:t>
                  </w:r>
                </w:p>
              </w:tc>
            </w:tr>
          </w:tbl>
          <w:p>
            <w:pPr>
              <w:pStyle w:val="null3"/>
              <w:jc w:val="left"/>
            </w:pPr>
            <w:r>
              <w:rPr>
                <w:rFonts w:ascii="仿宋_GB2312" w:hAnsi="仿宋_GB2312" w:cs="仿宋_GB2312" w:eastAsia="仿宋_GB2312"/>
                <w:sz w:val="20"/>
                <w:b/>
              </w:rPr>
              <w:t>三、硬件建设详细清单</w:t>
            </w:r>
          </w:p>
          <w:tbl>
            <w:tblPr>
              <w:tblInd w:type="dxa" w:w="120"/>
              <w:tblBorders>
                <w:top w:val="none" w:color="000000" w:sz="4"/>
                <w:left w:val="none" w:color="000000" w:sz="4"/>
                <w:bottom w:val="none" w:color="000000" w:sz="4"/>
                <w:right w:val="none" w:color="000000" w:sz="4"/>
                <w:insideH w:val="none"/>
                <w:insideV w:val="none"/>
              </w:tblBorders>
            </w:tblPr>
            <w:tblGrid>
              <w:gridCol w:w="336"/>
              <w:gridCol w:w="636"/>
              <w:gridCol w:w="1061"/>
              <w:gridCol w:w="518"/>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主要内容要求</w:t>
                  </w:r>
                </w:p>
              </w:tc>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r>
                    <w:rPr>
                      <w:rFonts w:ascii="仿宋_GB2312" w:hAnsi="仿宋_GB2312" w:cs="仿宋_GB2312" w:eastAsia="仿宋_GB2312"/>
                      <w:sz w:val="20"/>
                    </w:rPr>
                    <w:t>及单位</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西安市中心医院医疗管理系统部分网络安全设备升级</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互联网防火墙</w:t>
                  </w:r>
                  <w:r>
                    <w:rPr>
                      <w:rFonts w:ascii="仿宋_GB2312" w:hAnsi="仿宋_GB2312" w:cs="仿宋_GB2312" w:eastAsia="仿宋_GB2312"/>
                      <w:sz w:val="20"/>
                      <w:b/>
                    </w:rPr>
                    <w:t>（核心产品）</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r>
            <w:tr>
              <w:tc>
                <w:tcPr>
                  <w:tcW w:type="dxa" w:w="33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WEB应用安全</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33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内外网隔离网闸</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r>
            <w:tr>
              <w:tc>
                <w:tcPr>
                  <w:tcW w:type="dxa" w:w="33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运维审计（堡垒机）</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bl>
          <w:p>
            <w:pPr>
              <w:pStyle w:val="null3"/>
              <w:jc w:val="both"/>
            </w:pPr>
            <w:r>
              <w:rPr>
                <w:rFonts w:ascii="仿宋_GB2312" w:hAnsi="仿宋_GB2312" w:cs="仿宋_GB2312" w:eastAsia="仿宋_GB2312"/>
                <w:sz w:val="20"/>
                <w:b/>
              </w:rPr>
              <w:t>四、硬件建设详细参数</w:t>
            </w:r>
            <w:r>
              <w:rPr>
                <w:rFonts w:ascii="仿宋_GB2312" w:hAnsi="仿宋_GB2312" w:cs="仿宋_GB2312" w:eastAsia="仿宋_GB2312"/>
                <w:sz w:val="20"/>
                <w:b/>
              </w:rPr>
              <w:t>要求</w:t>
            </w:r>
          </w:p>
          <w:tbl>
            <w:tblPr>
              <w:tblInd w:type="dxa" w:w="120"/>
              <w:tblBorders>
                <w:top w:val="none" w:color="000000" w:sz="4"/>
                <w:left w:val="none" w:color="000000" w:sz="4"/>
                <w:bottom w:val="none" w:color="000000" w:sz="4"/>
                <w:right w:val="none" w:color="000000" w:sz="4"/>
                <w:insideH w:val="none"/>
                <w:insideV w:val="none"/>
              </w:tblBorders>
            </w:tblPr>
            <w:tblGrid>
              <w:gridCol w:w="234"/>
              <w:gridCol w:w="393"/>
              <w:gridCol w:w="323"/>
              <w:gridCol w:w="1603"/>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名称</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w:t>
                  </w:r>
                  <w:r>
                    <w:rPr>
                      <w:rFonts w:ascii="仿宋_GB2312" w:hAnsi="仿宋_GB2312" w:cs="仿宋_GB2312" w:eastAsia="仿宋_GB2312"/>
                      <w:sz w:val="20"/>
                    </w:rPr>
                    <w:t>名称</w:t>
                  </w:r>
                </w:p>
              </w:tc>
              <w:tc>
                <w:tcPr>
                  <w:tcW w:type="dxa" w:w="1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详细要求</w:t>
                  </w: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西安市中心医院医疗管理系统部分网络安全设备升级</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互联网防火墙</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1.标准机架式设备，要求信创设备，内存≥16G，接口配置≥4个千兆电口、4个千兆光口（满配千兆多模模块）、4个万兆光口（满配万兆多模模块）。冗余电源；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2.网络层吞吐量≥40G，防病毒吞吐量≥18G，入侵防御吞吐量≥20G，最大并发连接数≥2000万，每秒新建连接数≥60万；</w:t>
                  </w:r>
                </w:p>
                <w:p>
                  <w:pPr>
                    <w:pStyle w:val="null3"/>
                    <w:jc w:val="both"/>
                  </w:pPr>
                  <w:r>
                    <w:rPr>
                      <w:rFonts w:ascii="仿宋_GB2312" w:hAnsi="仿宋_GB2312" w:cs="仿宋_GB2312" w:eastAsia="仿宋_GB2312"/>
                      <w:sz w:val="20"/>
                    </w:rPr>
                    <w:t>3.包含SSLVPN模块,≥20个SSLVPN客户端许可；</w:t>
                  </w:r>
                </w:p>
                <w:p>
                  <w:pPr>
                    <w:pStyle w:val="null3"/>
                    <w:jc w:val="both"/>
                  </w:pPr>
                  <w:r>
                    <w:rPr>
                      <w:rFonts w:ascii="仿宋_GB2312" w:hAnsi="仿宋_GB2312" w:cs="仿宋_GB2312" w:eastAsia="仿宋_GB2312"/>
                      <w:sz w:val="20"/>
                    </w:rPr>
                    <w:t>4.支持路由、交换、混合工作模式。支持RIP、OSPF、BGP4、802.1q等；</w:t>
                  </w:r>
                </w:p>
                <w:p>
                  <w:pPr>
                    <w:pStyle w:val="null3"/>
                    <w:jc w:val="both"/>
                  </w:pPr>
                  <w:r>
                    <w:rPr>
                      <w:rFonts w:ascii="仿宋_GB2312" w:hAnsi="仿宋_GB2312" w:cs="仿宋_GB2312" w:eastAsia="仿宋_GB2312"/>
                      <w:sz w:val="20"/>
                    </w:rPr>
                    <w:t>5.提供策略分析功能，支持策略命中分析、策略冗余分析、策略冲突检查，可在WEB界面显示检测结果；</w:t>
                  </w:r>
                </w:p>
                <w:p>
                  <w:pPr>
                    <w:pStyle w:val="null3"/>
                    <w:jc w:val="both"/>
                  </w:pPr>
                  <w:r>
                    <w:rPr>
                      <w:rFonts w:ascii="仿宋_GB2312" w:hAnsi="仿宋_GB2312" w:cs="仿宋_GB2312" w:eastAsia="仿宋_GB2312"/>
                      <w:sz w:val="20"/>
                    </w:rPr>
                    <w:t>6.支持针对IP、ICMP、TCP、UDP、DNS、HTTP等协议进行DDOS防护；支持预定义和自定义策略模板；</w:t>
                  </w:r>
                </w:p>
                <w:p>
                  <w:pPr>
                    <w:pStyle w:val="null3"/>
                    <w:jc w:val="both"/>
                  </w:pPr>
                  <w:r>
                    <w:rPr>
                      <w:rFonts w:ascii="仿宋_GB2312" w:hAnsi="仿宋_GB2312" w:cs="仿宋_GB2312" w:eastAsia="仿宋_GB2312"/>
                      <w:sz w:val="20"/>
                    </w:rPr>
                    <w:t>7.支持内容过滤功能，支持基于HTTP、FTP、SMTP、POP3、IMAP等协议的内容过滤策略；</w:t>
                  </w:r>
                </w:p>
                <w:p>
                  <w:pPr>
                    <w:pStyle w:val="null3"/>
                    <w:jc w:val="both"/>
                  </w:pPr>
                  <w:r>
                    <w:rPr>
                      <w:rFonts w:ascii="仿宋_GB2312" w:hAnsi="仿宋_GB2312" w:cs="仿宋_GB2312" w:eastAsia="仿宋_GB2312"/>
                      <w:sz w:val="20"/>
                    </w:rPr>
                    <w:t>8.含N+1年（N为项目质保期）入侵防御、攻击规则特征库升级许可和病毒库升级服务许可。</w:t>
                  </w:r>
                </w:p>
              </w:tc>
            </w:tr>
            <w:tr>
              <w:tc>
                <w:tcPr>
                  <w:tcW w:type="dxa" w:w="234"/>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WEB应用安全</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1.标准机架式设备，硬盘≥4T（机械）或≥128G（SSD），配置≥4个千兆电口(2组bypass)+4个千兆光口（满配千兆多模光模块）+2个万兆光口（满配万兆多模光模块），冗余电源；</w:t>
                  </w:r>
                </w:p>
                <w:p>
                  <w:pPr>
                    <w:pStyle w:val="null3"/>
                    <w:jc w:val="both"/>
                  </w:pPr>
                  <w:r>
                    <w:rPr>
                      <w:rFonts w:ascii="仿宋_GB2312" w:hAnsi="仿宋_GB2312" w:cs="仿宋_GB2312" w:eastAsia="仿宋_GB2312"/>
                      <w:sz w:val="20"/>
                    </w:rPr>
                    <w:t>▲ 2.HTTP吞吐量≥9Gbps，HTTP并发连接数≥200万</w:t>
                  </w:r>
                </w:p>
                <w:p>
                  <w:pPr>
                    <w:pStyle w:val="null3"/>
                    <w:jc w:val="both"/>
                  </w:pPr>
                  <w:r>
                    <w:rPr>
                      <w:rFonts w:ascii="仿宋_GB2312" w:hAnsi="仿宋_GB2312" w:cs="仿宋_GB2312" w:eastAsia="仿宋_GB2312"/>
                      <w:sz w:val="20"/>
                    </w:rPr>
                    <w:t>3.支持无IP纯透明模式串联部署、负载均衡模式部署、反向代理模式部署、旁路监测模式部署。</w:t>
                  </w:r>
                </w:p>
                <w:p>
                  <w:pPr>
                    <w:pStyle w:val="null3"/>
                    <w:jc w:val="both"/>
                  </w:pPr>
                  <w:r>
                    <w:rPr>
                      <w:rFonts w:ascii="仿宋_GB2312" w:hAnsi="仿宋_GB2312" w:cs="仿宋_GB2312" w:eastAsia="仿宋_GB2312"/>
                      <w:sz w:val="20"/>
                    </w:rPr>
                    <w:t>4.支持多种爬虫攻击防护。</w:t>
                  </w:r>
                </w:p>
                <w:p>
                  <w:pPr>
                    <w:pStyle w:val="null3"/>
                    <w:jc w:val="both"/>
                  </w:pPr>
                  <w:r>
                    <w:rPr>
                      <w:rFonts w:ascii="仿宋_GB2312" w:hAnsi="仿宋_GB2312" w:cs="仿宋_GB2312" w:eastAsia="仿宋_GB2312"/>
                      <w:sz w:val="20"/>
                    </w:rPr>
                    <w:t>5.支持多重编码检查功能，可对多重的编码均进行安全防御检查，有效防止攻击绕过WAF。</w:t>
                  </w:r>
                </w:p>
                <w:p>
                  <w:pPr>
                    <w:pStyle w:val="null3"/>
                    <w:jc w:val="both"/>
                  </w:pPr>
                  <w:r>
                    <w:rPr>
                      <w:rFonts w:ascii="仿宋_GB2312" w:hAnsi="仿宋_GB2312" w:cs="仿宋_GB2312" w:eastAsia="仿宋_GB2312"/>
                      <w:sz w:val="20"/>
                    </w:rPr>
                    <w:t>6.支持对WEB服务器进行健康检查。</w:t>
                  </w:r>
                </w:p>
                <w:p>
                  <w:pPr>
                    <w:pStyle w:val="null3"/>
                    <w:jc w:val="both"/>
                  </w:pPr>
                  <w:r>
                    <w:rPr>
                      <w:rFonts w:ascii="仿宋_GB2312" w:hAnsi="仿宋_GB2312" w:cs="仿宋_GB2312" w:eastAsia="仿宋_GB2312"/>
                      <w:sz w:val="20"/>
                    </w:rPr>
                    <w:t>7.支持与网络及安全类其他设备联动。</w:t>
                  </w:r>
                </w:p>
                <w:p>
                  <w:pPr>
                    <w:pStyle w:val="null3"/>
                    <w:jc w:val="both"/>
                  </w:pPr>
                  <w:r>
                    <w:rPr>
                      <w:rFonts w:ascii="仿宋_GB2312" w:hAnsi="仿宋_GB2312" w:cs="仿宋_GB2312" w:eastAsia="仿宋_GB2312"/>
                      <w:sz w:val="20"/>
                    </w:rPr>
                    <w:t>8.含N+1（N为项目质保期）年特征库升级。</w:t>
                  </w:r>
                </w:p>
              </w:tc>
            </w:tr>
            <w:tr>
              <w:tc>
                <w:tcPr>
                  <w:tcW w:type="dxa" w:w="234"/>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内外网隔离网闸</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▲1.标准机架式设备，内外端机各≥32GB内存，内外分别1个HA口、1个管理口、接口≥4个千兆电口+4个千兆光口（带4个千兆多模光模块）+2个万兆光口（带2个万兆多模光模块）,冗余电源；</w:t>
                  </w:r>
                </w:p>
                <w:p>
                  <w:pPr>
                    <w:pStyle w:val="null3"/>
                    <w:jc w:val="both"/>
                  </w:pPr>
                  <w:r>
                    <w:rPr>
                      <w:rFonts w:ascii="仿宋_GB2312" w:hAnsi="仿宋_GB2312" w:cs="仿宋_GB2312" w:eastAsia="仿宋_GB2312"/>
                      <w:sz w:val="20"/>
                    </w:rPr>
                    <w:t>2.文件传输速率≥6Gbps；文件传输延时≤0.5ms；网络层交换速率≥9Gbps；网络延时≤0.2ms；</w:t>
                  </w:r>
                </w:p>
                <w:p>
                  <w:pPr>
                    <w:pStyle w:val="null3"/>
                    <w:jc w:val="both"/>
                  </w:pPr>
                  <w:r>
                    <w:rPr>
                      <w:rFonts w:ascii="仿宋_GB2312" w:hAnsi="仿宋_GB2312" w:cs="仿宋_GB2312" w:eastAsia="仿宋_GB2312"/>
                      <w:sz w:val="20"/>
                    </w:rPr>
                    <w:t>3.包含但不限于数据库访问模块、数据库同步模块等；</w:t>
                  </w:r>
                </w:p>
                <w:p>
                  <w:pPr>
                    <w:pStyle w:val="null3"/>
                    <w:jc w:val="both"/>
                  </w:pPr>
                  <w:r>
                    <w:rPr>
                      <w:rFonts w:ascii="仿宋_GB2312" w:hAnsi="仿宋_GB2312" w:cs="仿宋_GB2312" w:eastAsia="仿宋_GB2312"/>
                      <w:sz w:val="20"/>
                    </w:rPr>
                    <w:t>4.提供至少N+1年（N为项目质保期）升级服务。</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运维审计</w:t>
                  </w:r>
                  <w:r>
                    <w:rPr>
                      <w:rFonts w:ascii="仿宋_GB2312" w:hAnsi="仿宋_GB2312" w:cs="仿宋_GB2312" w:eastAsia="仿宋_GB2312"/>
                      <w:sz w:val="20"/>
                    </w:rPr>
                    <w:t>（</w:t>
                  </w:r>
                  <w:r>
                    <w:rPr>
                      <w:rFonts w:ascii="仿宋_GB2312" w:hAnsi="仿宋_GB2312" w:cs="仿宋_GB2312" w:eastAsia="仿宋_GB2312"/>
                      <w:sz w:val="20"/>
                    </w:rPr>
                    <w:t>堡垒机</w:t>
                  </w:r>
                  <w:r>
                    <w:rPr>
                      <w:rFonts w:ascii="仿宋_GB2312" w:hAnsi="仿宋_GB2312" w:cs="仿宋_GB2312" w:eastAsia="仿宋_GB2312"/>
                      <w:sz w:val="20"/>
                    </w:rPr>
                    <w:t>）</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▲1.标准机架式，国产化产品，内存≥16G，接口≥4个千兆电口、4个千兆光口（满配千兆多模模块）、≥1个管理口、≥1个HA口、≥1个console口，接口扩展槽≥2个，硬盘≥4TB，冗余电源；</w:t>
                  </w:r>
                </w:p>
                <w:p>
                  <w:pPr>
                    <w:pStyle w:val="null3"/>
                    <w:jc w:val="both"/>
                  </w:pPr>
                  <w:r>
                    <w:rPr>
                      <w:rFonts w:ascii="仿宋_GB2312" w:hAnsi="仿宋_GB2312" w:cs="仿宋_GB2312" w:eastAsia="仿宋_GB2312"/>
                      <w:sz w:val="20"/>
                    </w:rPr>
                    <w:t>2.性能参数：本次包含运维授权数≥400个，图形运维最大并发数≥300，字符运维最大并发数≥500；</w:t>
                  </w:r>
                </w:p>
                <w:p>
                  <w:pPr>
                    <w:pStyle w:val="null3"/>
                    <w:jc w:val="both"/>
                  </w:pPr>
                  <w:r>
                    <w:rPr>
                      <w:rFonts w:ascii="仿宋_GB2312" w:hAnsi="仿宋_GB2312" w:cs="仿宋_GB2312" w:eastAsia="仿宋_GB2312"/>
                      <w:sz w:val="20"/>
                    </w:rPr>
                    <w:t>3.可支持多种认证方式，包括但不限于口令认证、数字证书认证、USB-KEY认证等，同时支持自定义多因素认证组合；</w:t>
                  </w:r>
                </w:p>
                <w:p>
                  <w:pPr>
                    <w:pStyle w:val="null3"/>
                    <w:jc w:val="both"/>
                  </w:pPr>
                  <w:r>
                    <w:rPr>
                      <w:rFonts w:ascii="仿宋_GB2312" w:hAnsi="仿宋_GB2312" w:cs="仿宋_GB2312" w:eastAsia="仿宋_GB2312"/>
                      <w:sz w:val="20"/>
                    </w:rPr>
                    <w:t>4.含N+1年（N为项目质保期）升级服务。</w:t>
                  </w:r>
                </w:p>
              </w:tc>
            </w:tr>
          </w:tbl>
          <w:p>
            <w:pPr>
              <w:pStyle w:val="null3"/>
              <w:jc w:val="both"/>
              <w:outlineLvl w:val="0"/>
            </w:pPr>
            <w:r>
              <w:rPr>
                <w:rFonts w:ascii="仿宋_GB2312" w:hAnsi="仿宋_GB2312" w:cs="仿宋_GB2312" w:eastAsia="仿宋_GB2312"/>
                <w:sz w:val="20"/>
                <w:b/>
              </w:rPr>
              <w:t>五、</w:t>
            </w:r>
            <w:r>
              <w:rPr>
                <w:rFonts w:ascii="仿宋_GB2312" w:hAnsi="仿宋_GB2312" w:cs="仿宋_GB2312" w:eastAsia="仿宋_GB2312"/>
                <w:sz w:val="20"/>
                <w:b/>
              </w:rPr>
              <w:t>其他</w:t>
            </w:r>
            <w:r>
              <w:rPr>
                <w:rFonts w:ascii="仿宋_GB2312" w:hAnsi="仿宋_GB2312" w:cs="仿宋_GB2312" w:eastAsia="仿宋_GB2312"/>
                <w:sz w:val="20"/>
                <w:b/>
              </w:rPr>
              <w:t>要求</w:t>
            </w:r>
          </w:p>
          <w:p>
            <w:pPr>
              <w:pStyle w:val="null3"/>
              <w:ind w:firstLine="400"/>
              <w:jc w:val="left"/>
            </w:pPr>
            <w:r>
              <w:rPr>
                <w:rFonts w:ascii="仿宋_GB2312" w:hAnsi="仿宋_GB2312" w:cs="仿宋_GB2312" w:eastAsia="仿宋_GB2312"/>
                <w:sz w:val="20"/>
              </w:rPr>
              <w:t>1.本项目包内所有</w:t>
            </w:r>
            <w:r>
              <w:rPr>
                <w:rFonts w:ascii="仿宋_GB2312" w:hAnsi="仿宋_GB2312" w:cs="仿宋_GB2312" w:eastAsia="仿宋_GB2312"/>
                <w:sz w:val="20"/>
              </w:rPr>
              <w:t>硬</w:t>
            </w:r>
            <w:r>
              <w:rPr>
                <w:rFonts w:ascii="仿宋_GB2312" w:hAnsi="仿宋_GB2312" w:cs="仿宋_GB2312" w:eastAsia="仿宋_GB2312"/>
                <w:sz w:val="20"/>
              </w:rPr>
              <w:t>件</w:t>
            </w:r>
            <w:r>
              <w:rPr>
                <w:rFonts w:ascii="仿宋_GB2312" w:hAnsi="仿宋_GB2312" w:cs="仿宋_GB2312" w:eastAsia="仿宋_GB2312"/>
                <w:sz w:val="20"/>
              </w:rPr>
              <w:t>设备</w:t>
            </w:r>
            <w:r>
              <w:rPr>
                <w:rFonts w:ascii="仿宋_GB2312" w:hAnsi="仿宋_GB2312" w:cs="仿宋_GB2312" w:eastAsia="仿宋_GB2312"/>
                <w:sz w:val="20"/>
              </w:rPr>
              <w:t>必须</w:t>
            </w:r>
            <w:r>
              <w:rPr>
                <w:rFonts w:ascii="仿宋_GB2312" w:hAnsi="仿宋_GB2312" w:cs="仿宋_GB2312" w:eastAsia="仿宋_GB2312"/>
                <w:sz w:val="20"/>
              </w:rPr>
              <w:t>符合国货国用（信创）要求。</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在项目实施与项目质保期内，须无条件配合医院电子病历应用测评、互联互通标准化成熟度测评、三级公立医院绩效考核、智慧医院评级、等级医院评审、信息安全等级保护测评、密评密改等评审评级工作。</w:t>
            </w:r>
          </w:p>
          <w:p>
            <w:pPr>
              <w:pStyle w:val="null3"/>
              <w:ind w:firstLine="400"/>
              <w:jc w:val="left"/>
            </w:pPr>
            <w:r>
              <w:rPr>
                <w:rFonts w:ascii="仿宋_GB2312" w:hAnsi="仿宋_GB2312" w:cs="仿宋_GB2312" w:eastAsia="仿宋_GB2312"/>
                <w:sz w:val="20"/>
              </w:rPr>
              <w:t>3.要求不得在软件内设置“时间炸弹”等限制，且所供软件系统不存在已知的信息安全漏洞，并具备完善的用户访问控制机制。</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.中标人需安排产品厂家</w:t>
            </w:r>
            <w:r>
              <w:rPr>
                <w:rFonts w:ascii="仿宋_GB2312" w:hAnsi="仿宋_GB2312" w:cs="仿宋_GB2312" w:eastAsia="仿宋_GB2312"/>
                <w:sz w:val="20"/>
              </w:rPr>
              <w:t>进行</w:t>
            </w:r>
            <w:r>
              <w:rPr>
                <w:rFonts w:ascii="仿宋_GB2312" w:hAnsi="仿宋_GB2312" w:cs="仿宋_GB2312" w:eastAsia="仿宋_GB2312"/>
                <w:sz w:val="20"/>
              </w:rPr>
              <w:t>现场培训服务，并</w:t>
            </w:r>
            <w:r>
              <w:rPr>
                <w:rFonts w:ascii="仿宋_GB2312" w:hAnsi="仿宋_GB2312" w:cs="仿宋_GB2312" w:eastAsia="仿宋_GB2312"/>
                <w:sz w:val="20"/>
              </w:rPr>
              <w:t>提供</w:t>
            </w:r>
            <w:r>
              <w:rPr>
                <w:rFonts w:ascii="仿宋_GB2312" w:hAnsi="仿宋_GB2312" w:cs="仿宋_GB2312" w:eastAsia="仿宋_GB2312"/>
                <w:sz w:val="20"/>
              </w:rPr>
              <w:t>完整的培训资料，确保医院工作人员能够熟练掌握相关系统及硬件的操作与维护。</w:t>
            </w:r>
          </w:p>
          <w:p>
            <w:pPr>
              <w:pStyle w:val="null3"/>
              <w:ind w:firstLine="400"/>
              <w:jc w:val="left"/>
            </w:pPr>
            <w:r>
              <w:rPr>
                <w:rFonts w:ascii="仿宋_GB2312" w:hAnsi="仿宋_GB2312" w:cs="仿宋_GB2312" w:eastAsia="仿宋_GB2312"/>
                <w:sz w:val="20"/>
              </w:rPr>
              <w:t>5.工期：合同签订之日起3个月交付全部产品并经采购人验收合格。</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质保期：三年，质保期自本项目终验合格之日起计算，所含软件、策略等升级服务均属质保期范围内的服务内容。</w:t>
            </w:r>
          </w:p>
          <w:p>
            <w:pPr>
              <w:pStyle w:val="null3"/>
              <w:ind w:firstLine="400"/>
              <w:jc w:val="left"/>
            </w:pPr>
            <w:r>
              <w:rPr>
                <w:rFonts w:ascii="仿宋_GB2312" w:hAnsi="仿宋_GB2312" w:cs="仿宋_GB2312" w:eastAsia="仿宋_GB2312"/>
                <w:sz w:val="20"/>
              </w:rPr>
              <w:t>7</w:t>
            </w:r>
            <w:r>
              <w:rPr>
                <w:rFonts w:ascii="仿宋_GB2312" w:hAnsi="仿宋_GB2312" w:cs="仿宋_GB2312" w:eastAsia="仿宋_GB2312"/>
                <w:sz w:val="20"/>
              </w:rPr>
              <w:t>.本项目涉及的所有施工工作及所需辅助材料，其费用均</w:t>
            </w:r>
            <w:r>
              <w:rPr>
                <w:rFonts w:ascii="仿宋_GB2312" w:hAnsi="仿宋_GB2312" w:cs="仿宋_GB2312" w:eastAsia="仿宋_GB2312"/>
                <w:sz w:val="20"/>
              </w:rPr>
              <w:t>已包含在本项目内</w:t>
            </w:r>
            <w:r>
              <w:rPr>
                <w:rFonts w:ascii="仿宋_GB2312" w:hAnsi="仿宋_GB2312" w:cs="仿宋_GB2312" w:eastAsia="仿宋_GB2312"/>
                <w:sz w:val="20"/>
              </w:rPr>
              <w:t>。中标方应按照项目要求，精心组织施工，确保施工质量，不得因施工及辅材费用问题影响项目进度与质量。</w:t>
            </w:r>
          </w:p>
          <w:p>
            <w:pPr>
              <w:pStyle w:val="null3"/>
              <w:spacing w:after="120"/>
              <w:jc w:val="both"/>
            </w:pPr>
            <w:r>
              <w:rPr>
                <w:rFonts w:ascii="仿宋_GB2312" w:hAnsi="仿宋_GB2312" w:cs="仿宋_GB2312" w:eastAsia="仿宋_GB2312"/>
                <w:sz w:val="20"/>
                <w:b/>
              </w:rPr>
              <w:t>★六、商务要求</w:t>
            </w:r>
          </w:p>
          <w:p>
            <w:pPr>
              <w:pStyle w:val="null3"/>
              <w:ind w:firstLine="400"/>
              <w:jc w:val="both"/>
            </w:pPr>
            <w:r>
              <w:rPr>
                <w:rFonts w:ascii="仿宋_GB2312" w:hAnsi="仿宋_GB2312" w:cs="仿宋_GB2312" w:eastAsia="仿宋_GB2312"/>
                <w:sz w:val="20"/>
              </w:rPr>
              <w:t>1.工期：合同签订之日起3个月交付全部产品并经采购人验收合格。</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质保期：</w:t>
            </w:r>
            <w:r>
              <w:rPr>
                <w:rFonts w:ascii="仿宋_GB2312" w:hAnsi="仿宋_GB2312" w:cs="仿宋_GB2312" w:eastAsia="仿宋_GB2312"/>
                <w:sz w:val="20"/>
              </w:rPr>
              <w:t>3年，质保期自本项目终验合格之日起计算，所含软件、策略等升级服务均属质保期范围内的服务内容。</w:t>
            </w:r>
          </w:p>
          <w:p>
            <w:pPr>
              <w:pStyle w:val="null3"/>
              <w:jc w:val="left"/>
            </w:pPr>
            <w:r>
              <w:rPr>
                <w:rFonts w:ascii="仿宋_GB2312" w:hAnsi="仿宋_GB2312" w:cs="仿宋_GB2312" w:eastAsia="仿宋_GB2312"/>
                <w:sz w:val="20"/>
              </w:rPr>
              <w:t xml:space="preserve">    3.付款条件说明：所有货物到达甲方指定地点安装、调试后甲方组织进行初验，初验合格后，乙方须按其投标文件中响应的投标价格提供全额发票，甲方于收到发票后的一个月内支付合同总价款30%，货物试运行3个月后且无重大故障，甲方组织专家进行终验，终验合格后，无息支付合同总价款的60%，货物终验合格满12个月内，支付合同总金额（无息）的 10%。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工期合同签订之日起3个月交付全部产品并经采购人验收合格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所有货物到达甲方指定地点安装、调试后甲方组织进行初验，初验合格后，乙方须按其投标文件中响应的投标价格提供全额发票，甲方于收到发票后的一个月内支付合同总价款30%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货物试运行3个月后且无重大故障，甲方组织专家进行终验，终验合格后，无息支付合同总价款的60%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货物终验合格满12个月内，支付合同总金额（无息）的 10%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因运输产生的风险及质量问题，由投标人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 以上2种形式的资料提供任何一种即可。 （三）具有履行合同所必需的设备和专业技术能力。 提供诚信承诺。 （四）具有依法缴纳税收的良好记录。 提供缴费所属日期为投标截止时间前12个月内任意一个月（投标截止时间当月不计入）的增值税（或所得税）缴费凭据或税务机关出具的完税证明/在法规范围内不需提供的应出具书面说明和证明文件； /或具有依法缴纳税收的诚信承诺； 以上二种形式的资料提供任何一种即可。 （五）具有依法缴纳社会保障资金的良好记录。 提供供应商投标截止时间前近六个月中至少一个月的缴纳社会保险的凭据或社保机构开具的社会保险参保缴费情况证明，单据或证明上应有社保机构或代收机构的公章或业务专用章。依法免缴的提供相关证明材料。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 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 以上2种形式的资料提供任何一种即可。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法定代表人授权书及本单位证明</w:t>
            </w:r>
          </w:p>
        </w:tc>
        <w:tc>
          <w:tcPr>
            <w:tcW w:type="dxa" w:w="3322"/>
          </w:tcPr>
          <w:p>
            <w:pPr>
              <w:pStyle w:val="null3"/>
            </w:pPr>
            <w:r>
              <w:rPr>
                <w:rFonts w:ascii="仿宋_GB2312" w:hAnsi="仿宋_GB2312" w:cs="仿宋_GB2312" w:eastAsia="仿宋_GB2312"/>
              </w:rPr>
              <w:t>投标人应授权合法的人员参加投标，其中法定代表人（主要负责人）直接参加的须出具法定代表人（主要负责人）身份证并与营业执照上信息一致，法定代表人（主要负责人）委托代理人参加投标时，应提供法定代表人（主要负责人）身份证明和法定代表人（主要负责人）委托授权书（及被授权人近三个月内在本单位社保缴纳的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响应文件的完整性、有效性、响应性</w:t>
            </w:r>
          </w:p>
        </w:tc>
        <w:tc>
          <w:tcPr>
            <w:tcW w:type="dxa" w:w="3322"/>
          </w:tcPr>
          <w:p>
            <w:pPr>
              <w:pStyle w:val="null3"/>
            </w:pPr>
            <w:r>
              <w:rPr>
                <w:rFonts w:ascii="仿宋_GB2312" w:hAnsi="仿宋_GB2312" w:cs="仿宋_GB2312" w:eastAsia="仿宋_GB2312"/>
              </w:rPr>
              <w:t>响应文件是否按照磋商文件要求的格式编写。响应文件的签署、加盖印章是否有效。响应报价是否未超过采购预算、最高限价及单价限价；响应报价有效期是否符合磋商文件的要求；是否满足磋商文件的实质性要求。</w:t>
            </w:r>
          </w:p>
        </w:tc>
        <w:tc>
          <w:tcPr>
            <w:tcW w:type="dxa" w:w="1661"/>
          </w:tcPr>
          <w:p>
            <w:pPr>
              <w:pStyle w:val="null3"/>
            </w:pPr>
            <w:r>
              <w:rPr>
                <w:rFonts w:ascii="仿宋_GB2312" w:hAnsi="仿宋_GB2312" w:cs="仿宋_GB2312" w:eastAsia="仿宋_GB2312"/>
              </w:rPr>
              <w:t>响应文件封面 响应方案说明书.docx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投标产品的技术指标和性能完全满足招标文件要求计30分。 ▲项每负偏离一项扣4分，非▲项每负偏离一项扣1分，扣完为止。 备注：▲项需提供证明材料（包括但不限于检测报告、原厂印刷的产品说明书、彩页、官网功能截图等），未提供或提供不符合要求的佐证材料将视为负偏离。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产品性能及配置</w:t>
            </w:r>
          </w:p>
        </w:tc>
        <w:tc>
          <w:tcPr>
            <w:tcW w:type="dxa" w:w="2492"/>
          </w:tcPr>
          <w:p>
            <w:pPr>
              <w:pStyle w:val="null3"/>
            </w:pPr>
            <w:r>
              <w:rPr>
                <w:rFonts w:ascii="仿宋_GB2312" w:hAnsi="仿宋_GB2312" w:cs="仿宋_GB2312" w:eastAsia="仿宋_GB2312"/>
              </w:rPr>
              <w:t>①投标产品技术成熟度高、技术先进，产品技术生命周期处于成熟阶段，配套资源完善得3分；每存在一处不足扣0.5-2分，不足是指技术成熟度低，技术不够先进，产品技术生命周期处于起步或衰退阶段，技术有局限或有缺陷，配套资源不全不完善。 ②产品配置操作方便、配置结构简明清晰得3分。 每存在一处不足扣0.5-2分，不足是指操作不够便捷或配置不够简明清晰。 ③投标产品整体配置高端、完善、功能齐全，得3分；投标产品配置不够完善，有重要功能缺失，得1分。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提供所投产品来源渠道合法的证明（包括但不限于代理协议、原厂授权等）。每提供1份得2分，满分4分。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针对本项目制定的实施方案，方案内容包括但不限于①项目整体目标②供货进度计划③人员配备④系统对接方案及施工方案⑤质量保障措施。 完全满足需求并符合本项目实施特点的得10分；每有一个模块缺项扣2分；每个模块中内容存在缺陷的，扣0.5-1分，扣完为止。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投标人针对本项目提供完善的售后服务方案。包括但不限于①售后服务内容；②售后机构（投标人在本地建立有完善的售后服务机构）完善程度；③响应时限、解决问题的能力。 各项内容全面详细、阐述条理清晰详尽、符合本项目采购需求，能有效保障本项目实施的得6分；每有一个模块缺项扣2分；每个模块中内容存在缺陷的，扣0.5-1.5分，扣完为止。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投标人提供完整的培训方案。方案内容包括但不限于①培训内容及培训方式②培训考核办法： 方案各项内容全面详细、阐述条理清晰、内容合理，贴合项目的实际情况，能有效保障本项目实施得6分；每有一个模块缺项扣3分；每个模块中内容存在缺陷的，扣0.5-2分，扣完为止。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提供供应商近三年（2023年1月至今）的类似业绩证明文件（以合同为准，时间以合同签订时间为准），每提供一份得1分，满分5分。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满足磋商文件要求且响应价格最低的为评标基准价，其价格分为满分。其他供应商的价格分统一按照下列公式计算：响应报价得分=(评标基准价／响应报价)×30。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