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2E472">
      <w:pPr>
        <w:jc w:val="center"/>
        <w:rPr>
          <w:rFonts w:hint="eastAsia" w:ascii="仿宋" w:hAnsi="仿宋" w:eastAsia="仿宋" w:cs="仿宋"/>
          <w:b/>
          <w:color w:val="auto"/>
          <w:spacing w:val="4"/>
          <w:sz w:val="52"/>
          <w:szCs w:val="48"/>
          <w:highlight w:val="none"/>
        </w:rPr>
      </w:pPr>
      <w:r>
        <w:rPr>
          <w:rFonts w:hint="eastAsia" w:ascii="仿宋" w:hAnsi="仿宋" w:eastAsia="仿宋" w:cs="仿宋"/>
          <w:b/>
          <w:color w:val="auto"/>
          <w:spacing w:val="4"/>
          <w:sz w:val="52"/>
          <w:szCs w:val="48"/>
          <w:highlight w:val="none"/>
        </w:rPr>
        <w:t>西安市中心医院货物类</w:t>
      </w:r>
    </w:p>
    <w:p w14:paraId="1FB75DB6">
      <w:pPr>
        <w:ind w:firstLine="3233" w:firstLineChars="350"/>
        <w:rPr>
          <w:rFonts w:hint="eastAsia" w:ascii="仿宋" w:hAnsi="仿宋" w:eastAsia="仿宋" w:cs="仿宋"/>
          <w:b/>
          <w:color w:val="auto"/>
          <w:spacing w:val="-20"/>
          <w:sz w:val="96"/>
          <w:szCs w:val="58"/>
          <w:highlight w:val="none"/>
        </w:rPr>
      </w:pPr>
    </w:p>
    <w:p w14:paraId="31CC298E">
      <w:pPr>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合  同</w:t>
      </w:r>
    </w:p>
    <w:p w14:paraId="43FCA018">
      <w:pPr>
        <w:jc w:val="center"/>
        <w:rPr>
          <w:rFonts w:hint="eastAsia" w:ascii="仿宋" w:hAnsi="仿宋" w:eastAsia="仿宋" w:cs="仿宋"/>
          <w:b/>
          <w:color w:val="auto"/>
          <w:sz w:val="72"/>
          <w:szCs w:val="72"/>
          <w:highlight w:val="none"/>
        </w:rPr>
      </w:pPr>
    </w:p>
    <w:p w14:paraId="656F7282">
      <w:pPr>
        <w:ind w:firstLine="3080" w:firstLineChars="1100"/>
        <w:rPr>
          <w:rFonts w:hint="eastAsia" w:ascii="仿宋" w:hAnsi="仿宋" w:eastAsia="仿宋" w:cs="仿宋"/>
          <w:color w:val="auto"/>
          <w:sz w:val="28"/>
          <w:szCs w:val="30"/>
          <w:highlight w:val="none"/>
        </w:rPr>
      </w:pPr>
    </w:p>
    <w:p w14:paraId="5FFB7893">
      <w:pPr>
        <w:ind w:firstLine="280" w:firstLineChars="1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30"/>
          <w:highlight w:val="none"/>
        </w:rPr>
        <w:t xml:space="preserve">项目名称： </w:t>
      </w:r>
      <w:r>
        <w:rPr>
          <w:rFonts w:hint="eastAsia" w:ascii="仿宋" w:hAnsi="仿宋" w:eastAsia="仿宋" w:cs="仿宋"/>
          <w:color w:val="auto"/>
          <w:sz w:val="28"/>
          <w:szCs w:val="30"/>
          <w:highlight w:val="none"/>
          <w:u w:val="single"/>
        </w:rPr>
        <w:t xml:space="preserve">                                 </w:t>
      </w:r>
      <w:r>
        <w:rPr>
          <w:rFonts w:hint="eastAsia" w:ascii="仿宋" w:hAnsi="仿宋" w:eastAsia="仿宋" w:cs="仿宋"/>
          <w:color w:val="auto"/>
          <w:sz w:val="28"/>
          <w:szCs w:val="28"/>
          <w:highlight w:val="none"/>
          <w:u w:val="single"/>
        </w:rPr>
        <w:t xml:space="preserve"> </w:t>
      </w:r>
    </w:p>
    <w:p w14:paraId="43FAC101">
      <w:pPr>
        <w:ind w:firstLine="280" w:firstLineChars="1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项目编号： </w:t>
      </w:r>
      <w:r>
        <w:rPr>
          <w:rFonts w:hint="eastAsia" w:ascii="仿宋" w:hAnsi="仿宋" w:eastAsia="仿宋" w:cs="仿宋"/>
          <w:color w:val="auto"/>
          <w:sz w:val="28"/>
          <w:szCs w:val="28"/>
          <w:highlight w:val="none"/>
          <w:u w:val="single"/>
        </w:rPr>
        <w:t xml:space="preserve">                                  </w:t>
      </w:r>
    </w:p>
    <w:p w14:paraId="0F9BC1F5">
      <w:pPr>
        <w:jc w:val="center"/>
        <w:rPr>
          <w:rFonts w:hint="eastAsia" w:ascii="仿宋" w:hAnsi="仿宋" w:eastAsia="仿宋" w:cs="仿宋"/>
          <w:color w:val="auto"/>
          <w:sz w:val="28"/>
          <w:szCs w:val="30"/>
          <w:highlight w:val="none"/>
        </w:rPr>
      </w:pPr>
    </w:p>
    <w:p w14:paraId="237C0379">
      <w:pPr>
        <w:jc w:val="center"/>
        <w:rPr>
          <w:rFonts w:hint="eastAsia" w:ascii="仿宋" w:hAnsi="仿宋" w:eastAsia="仿宋" w:cs="仿宋"/>
          <w:color w:val="auto"/>
          <w:sz w:val="28"/>
          <w:szCs w:val="30"/>
          <w:highlight w:val="none"/>
        </w:rPr>
      </w:pPr>
    </w:p>
    <w:p w14:paraId="4E67288C">
      <w:pPr>
        <w:jc w:val="center"/>
        <w:rPr>
          <w:rFonts w:hint="eastAsia" w:ascii="仿宋" w:hAnsi="仿宋" w:eastAsia="仿宋" w:cs="仿宋"/>
          <w:color w:val="auto"/>
          <w:sz w:val="28"/>
          <w:szCs w:val="30"/>
          <w:highlight w:val="none"/>
        </w:rPr>
      </w:pPr>
    </w:p>
    <w:p w14:paraId="5F3B81B3">
      <w:pPr>
        <w:ind w:firstLine="2240" w:firstLineChars="7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甲  方：西安市中心医院</w:t>
      </w:r>
    </w:p>
    <w:p w14:paraId="0E473E3C">
      <w:pPr>
        <w:tabs>
          <w:tab w:val="left" w:pos="480"/>
        </w:tabs>
        <w:ind w:firstLine="2240" w:firstLineChars="7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乙  方：                          </w:t>
      </w:r>
    </w:p>
    <w:p w14:paraId="46F3DA92">
      <w:pP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w:t>
      </w:r>
    </w:p>
    <w:p w14:paraId="72A44828">
      <w:pPr>
        <w:rPr>
          <w:rFonts w:hint="eastAsia" w:ascii="仿宋" w:hAnsi="仿宋" w:eastAsia="仿宋" w:cs="仿宋"/>
          <w:color w:val="auto"/>
          <w:sz w:val="32"/>
          <w:szCs w:val="32"/>
          <w:highlight w:val="none"/>
        </w:rPr>
      </w:pPr>
    </w:p>
    <w:p w14:paraId="20668EE9">
      <w:pPr>
        <w:rPr>
          <w:rFonts w:hint="eastAsia" w:ascii="仿宋" w:hAnsi="仿宋" w:eastAsia="仿宋" w:cs="仿宋"/>
          <w:color w:val="auto"/>
          <w:sz w:val="32"/>
          <w:szCs w:val="32"/>
          <w:highlight w:val="none"/>
        </w:rPr>
      </w:pPr>
    </w:p>
    <w:p w14:paraId="283FD64B">
      <w:pPr>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二O二 五 年   月</w:t>
      </w:r>
    </w:p>
    <w:p w14:paraId="47709E70">
      <w:pPr>
        <w:rPr>
          <w:rFonts w:hint="eastAsia" w:ascii="仿宋" w:hAnsi="仿宋" w:eastAsia="仿宋" w:cs="仿宋"/>
          <w:color w:val="auto"/>
          <w:sz w:val="22"/>
          <w:highlight w:val="none"/>
        </w:rPr>
      </w:pPr>
    </w:p>
    <w:p w14:paraId="351622D7">
      <w:pPr>
        <w:pStyle w:val="5"/>
        <w:ind w:firstLine="440"/>
        <w:rPr>
          <w:rFonts w:hint="eastAsia" w:ascii="仿宋" w:hAnsi="仿宋" w:eastAsia="仿宋" w:cs="仿宋"/>
          <w:color w:val="auto"/>
          <w:sz w:val="22"/>
          <w:highlight w:val="none"/>
        </w:rPr>
      </w:pPr>
    </w:p>
    <w:p w14:paraId="35B6022B">
      <w:pPr>
        <w:rPr>
          <w:rFonts w:hint="eastAsia" w:ascii="仿宋" w:hAnsi="仿宋" w:eastAsia="仿宋" w:cs="仿宋"/>
          <w:color w:val="auto"/>
          <w:highlight w:val="none"/>
        </w:rPr>
      </w:pPr>
    </w:p>
    <w:p w14:paraId="7BA1F349">
      <w:pPr>
        <w:rPr>
          <w:rFonts w:hint="eastAsia" w:ascii="仿宋" w:hAnsi="仿宋" w:eastAsia="仿宋" w:cs="仿宋"/>
          <w:color w:val="auto"/>
          <w:sz w:val="22"/>
          <w:highlight w:val="none"/>
        </w:rPr>
      </w:pPr>
    </w:p>
    <w:p w14:paraId="694E401F">
      <w:pPr>
        <w:pStyle w:val="2"/>
        <w:rPr>
          <w:rFonts w:hint="eastAsia" w:ascii="仿宋" w:hAnsi="仿宋" w:eastAsia="仿宋" w:cs="仿宋"/>
          <w:color w:val="auto"/>
          <w:sz w:val="22"/>
          <w:highlight w:val="none"/>
        </w:rPr>
      </w:pPr>
    </w:p>
    <w:p w14:paraId="15F8FDC8">
      <w:pPr>
        <w:rPr>
          <w:rFonts w:hint="eastAsia" w:ascii="仿宋" w:hAnsi="仿宋" w:eastAsia="仿宋" w:cs="仿宋"/>
          <w:color w:val="auto"/>
          <w:sz w:val="22"/>
          <w:highlight w:val="none"/>
        </w:rPr>
      </w:pPr>
    </w:p>
    <w:p w14:paraId="5E767EE0">
      <w:pPr>
        <w:pStyle w:val="2"/>
        <w:rPr>
          <w:rFonts w:hint="eastAsia" w:ascii="仿宋" w:hAnsi="仿宋" w:eastAsia="仿宋" w:cs="仿宋"/>
          <w:color w:val="auto"/>
          <w:sz w:val="22"/>
          <w:highlight w:val="none"/>
        </w:rPr>
      </w:pPr>
    </w:p>
    <w:p w14:paraId="74530A0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甲方：西安市中心医院 </w:t>
      </w:r>
    </w:p>
    <w:p w14:paraId="04C41558">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p>
    <w:p w14:paraId="6735B2F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就甲方所需货物，按照政府采购程序组织招标，确定乙方为成交供应商。依据《中华人民共和国政府采购法》、《中华人民共和国招标投标法》、《中华人民共和国民法典》，经甲、乙双方协商、确认，达成如下条款。</w:t>
      </w:r>
    </w:p>
    <w:p w14:paraId="3D32113B">
      <w:pPr>
        <w:tabs>
          <w:tab w:val="left" w:pos="480"/>
        </w:tabs>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一、合同标的货物内容及数量</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116"/>
        <w:gridCol w:w="1041"/>
        <w:gridCol w:w="1080"/>
        <w:gridCol w:w="944"/>
        <w:gridCol w:w="811"/>
        <w:gridCol w:w="1017"/>
        <w:gridCol w:w="966"/>
        <w:gridCol w:w="850"/>
      </w:tblGrid>
      <w:tr w14:paraId="1969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07" w:type="pct"/>
            <w:noWrap w:val="0"/>
            <w:vAlign w:val="center"/>
          </w:tcPr>
          <w:p w14:paraId="17CDF706">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序号</w:t>
            </w:r>
          </w:p>
        </w:tc>
        <w:tc>
          <w:tcPr>
            <w:tcW w:w="655" w:type="pct"/>
            <w:noWrap w:val="0"/>
            <w:vAlign w:val="center"/>
          </w:tcPr>
          <w:p w14:paraId="0B63C385">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货物</w:t>
            </w:r>
            <w:r>
              <w:rPr>
                <w:rFonts w:hint="eastAsia" w:ascii="仿宋" w:hAnsi="仿宋" w:eastAsia="仿宋" w:cs="仿宋"/>
                <w:color w:val="auto"/>
                <w:szCs w:val="21"/>
                <w:highlight w:val="none"/>
              </w:rPr>
              <w:t>名称</w:t>
            </w:r>
          </w:p>
        </w:tc>
        <w:tc>
          <w:tcPr>
            <w:tcW w:w="611" w:type="pct"/>
            <w:noWrap w:val="0"/>
            <w:vAlign w:val="center"/>
          </w:tcPr>
          <w:p w14:paraId="4BB928D7">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规格参数</w:t>
            </w:r>
          </w:p>
        </w:tc>
        <w:tc>
          <w:tcPr>
            <w:tcW w:w="634" w:type="pct"/>
            <w:noWrap w:val="0"/>
            <w:vAlign w:val="center"/>
          </w:tcPr>
          <w:p w14:paraId="0745989A">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生产</w:t>
            </w:r>
          </w:p>
          <w:p w14:paraId="02F54596">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厂家</w:t>
            </w:r>
          </w:p>
        </w:tc>
        <w:tc>
          <w:tcPr>
            <w:tcW w:w="554" w:type="pct"/>
            <w:noWrap w:val="0"/>
            <w:vAlign w:val="center"/>
          </w:tcPr>
          <w:p w14:paraId="15E07DEE">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计量</w:t>
            </w:r>
          </w:p>
          <w:p w14:paraId="2768243F">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单位</w:t>
            </w:r>
          </w:p>
        </w:tc>
        <w:tc>
          <w:tcPr>
            <w:tcW w:w="476" w:type="pct"/>
            <w:noWrap w:val="0"/>
            <w:vAlign w:val="center"/>
          </w:tcPr>
          <w:p w14:paraId="5F3BE3CA">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数量</w:t>
            </w:r>
          </w:p>
        </w:tc>
        <w:tc>
          <w:tcPr>
            <w:tcW w:w="597" w:type="pct"/>
            <w:noWrap w:val="0"/>
            <w:vAlign w:val="center"/>
          </w:tcPr>
          <w:p w14:paraId="7C0345E2">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单价</w:t>
            </w:r>
          </w:p>
          <w:p w14:paraId="70EA703B">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（万元）</w:t>
            </w:r>
          </w:p>
        </w:tc>
        <w:tc>
          <w:tcPr>
            <w:tcW w:w="567" w:type="pct"/>
            <w:noWrap w:val="0"/>
            <w:vAlign w:val="center"/>
          </w:tcPr>
          <w:p w14:paraId="204E33F6">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金额</w:t>
            </w:r>
          </w:p>
          <w:p w14:paraId="257B3841">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（万元）</w:t>
            </w:r>
          </w:p>
        </w:tc>
        <w:tc>
          <w:tcPr>
            <w:tcW w:w="496" w:type="pct"/>
            <w:noWrap w:val="0"/>
            <w:vAlign w:val="center"/>
          </w:tcPr>
          <w:p w14:paraId="24C80FB2">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备注</w:t>
            </w:r>
          </w:p>
        </w:tc>
      </w:tr>
      <w:tr w14:paraId="65D83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407" w:type="pct"/>
            <w:noWrap w:val="0"/>
            <w:vAlign w:val="center"/>
          </w:tcPr>
          <w:p w14:paraId="71FC70A4">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655" w:type="pct"/>
            <w:noWrap w:val="0"/>
            <w:vAlign w:val="center"/>
          </w:tcPr>
          <w:p w14:paraId="54DAB03F">
            <w:pPr>
              <w:tabs>
                <w:tab w:val="left" w:pos="480"/>
              </w:tabs>
              <w:spacing w:line="360" w:lineRule="auto"/>
              <w:jc w:val="center"/>
              <w:rPr>
                <w:rFonts w:hint="eastAsia" w:ascii="仿宋" w:hAnsi="仿宋" w:eastAsia="仿宋" w:cs="仿宋"/>
                <w:color w:val="auto"/>
                <w:szCs w:val="21"/>
                <w:highlight w:val="none"/>
              </w:rPr>
            </w:pPr>
          </w:p>
        </w:tc>
        <w:tc>
          <w:tcPr>
            <w:tcW w:w="611" w:type="pct"/>
            <w:noWrap w:val="0"/>
            <w:vAlign w:val="center"/>
          </w:tcPr>
          <w:p w14:paraId="56E3B531">
            <w:pPr>
              <w:tabs>
                <w:tab w:val="left" w:pos="480"/>
              </w:tabs>
              <w:spacing w:line="360" w:lineRule="auto"/>
              <w:jc w:val="center"/>
              <w:rPr>
                <w:rFonts w:hint="eastAsia" w:ascii="仿宋" w:hAnsi="仿宋" w:eastAsia="仿宋" w:cs="仿宋"/>
                <w:color w:val="auto"/>
                <w:szCs w:val="21"/>
                <w:highlight w:val="none"/>
              </w:rPr>
            </w:pPr>
          </w:p>
        </w:tc>
        <w:tc>
          <w:tcPr>
            <w:tcW w:w="634" w:type="pct"/>
            <w:noWrap w:val="0"/>
            <w:vAlign w:val="center"/>
          </w:tcPr>
          <w:p w14:paraId="34CDEED9">
            <w:pPr>
              <w:tabs>
                <w:tab w:val="left" w:pos="480"/>
              </w:tabs>
              <w:spacing w:line="360" w:lineRule="auto"/>
              <w:jc w:val="center"/>
              <w:rPr>
                <w:rFonts w:hint="eastAsia" w:ascii="仿宋" w:hAnsi="仿宋" w:eastAsia="仿宋" w:cs="仿宋"/>
                <w:color w:val="auto"/>
                <w:szCs w:val="21"/>
                <w:highlight w:val="none"/>
              </w:rPr>
            </w:pPr>
          </w:p>
        </w:tc>
        <w:tc>
          <w:tcPr>
            <w:tcW w:w="554" w:type="pct"/>
            <w:noWrap w:val="0"/>
            <w:vAlign w:val="center"/>
          </w:tcPr>
          <w:p w14:paraId="5952EAF8">
            <w:pPr>
              <w:tabs>
                <w:tab w:val="left" w:pos="480"/>
              </w:tabs>
              <w:spacing w:line="360" w:lineRule="auto"/>
              <w:jc w:val="center"/>
              <w:rPr>
                <w:rFonts w:hint="eastAsia" w:ascii="仿宋" w:hAnsi="仿宋" w:eastAsia="仿宋" w:cs="仿宋"/>
                <w:color w:val="auto"/>
                <w:szCs w:val="21"/>
                <w:highlight w:val="none"/>
              </w:rPr>
            </w:pPr>
          </w:p>
        </w:tc>
        <w:tc>
          <w:tcPr>
            <w:tcW w:w="476" w:type="pct"/>
            <w:noWrap w:val="0"/>
            <w:vAlign w:val="center"/>
          </w:tcPr>
          <w:p w14:paraId="1F24A7E9">
            <w:pPr>
              <w:tabs>
                <w:tab w:val="left" w:pos="480"/>
              </w:tabs>
              <w:spacing w:line="360" w:lineRule="auto"/>
              <w:jc w:val="center"/>
              <w:rPr>
                <w:rFonts w:hint="eastAsia" w:ascii="仿宋" w:hAnsi="仿宋" w:eastAsia="仿宋" w:cs="仿宋"/>
                <w:color w:val="auto"/>
                <w:szCs w:val="21"/>
                <w:highlight w:val="none"/>
              </w:rPr>
            </w:pPr>
          </w:p>
        </w:tc>
        <w:tc>
          <w:tcPr>
            <w:tcW w:w="597" w:type="pct"/>
            <w:noWrap w:val="0"/>
            <w:vAlign w:val="center"/>
          </w:tcPr>
          <w:p w14:paraId="309C2455">
            <w:pPr>
              <w:tabs>
                <w:tab w:val="left" w:pos="480"/>
              </w:tabs>
              <w:spacing w:line="360" w:lineRule="auto"/>
              <w:jc w:val="center"/>
              <w:rPr>
                <w:rFonts w:hint="eastAsia" w:ascii="仿宋" w:hAnsi="仿宋" w:eastAsia="仿宋" w:cs="仿宋"/>
                <w:color w:val="auto"/>
                <w:szCs w:val="21"/>
                <w:highlight w:val="none"/>
              </w:rPr>
            </w:pPr>
          </w:p>
        </w:tc>
        <w:tc>
          <w:tcPr>
            <w:tcW w:w="567" w:type="pct"/>
            <w:noWrap w:val="0"/>
            <w:vAlign w:val="center"/>
          </w:tcPr>
          <w:p w14:paraId="69B63102">
            <w:pPr>
              <w:tabs>
                <w:tab w:val="left" w:pos="480"/>
              </w:tabs>
              <w:spacing w:line="360" w:lineRule="auto"/>
              <w:jc w:val="center"/>
              <w:rPr>
                <w:rFonts w:hint="eastAsia" w:ascii="仿宋" w:hAnsi="仿宋" w:eastAsia="仿宋" w:cs="仿宋"/>
                <w:color w:val="auto"/>
                <w:szCs w:val="21"/>
                <w:highlight w:val="none"/>
              </w:rPr>
            </w:pPr>
          </w:p>
        </w:tc>
        <w:tc>
          <w:tcPr>
            <w:tcW w:w="496" w:type="pct"/>
            <w:noWrap w:val="0"/>
            <w:vAlign w:val="top"/>
          </w:tcPr>
          <w:p w14:paraId="3AC80A3D">
            <w:pPr>
              <w:tabs>
                <w:tab w:val="left" w:pos="480"/>
              </w:tabs>
              <w:spacing w:line="360" w:lineRule="auto"/>
              <w:jc w:val="center"/>
              <w:rPr>
                <w:rFonts w:hint="eastAsia" w:ascii="仿宋" w:hAnsi="仿宋" w:eastAsia="仿宋" w:cs="仿宋"/>
                <w:color w:val="auto"/>
                <w:szCs w:val="21"/>
                <w:highlight w:val="none"/>
              </w:rPr>
            </w:pPr>
          </w:p>
        </w:tc>
      </w:tr>
      <w:tr w14:paraId="5173F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7" w:type="pct"/>
            <w:noWrap w:val="0"/>
            <w:vAlign w:val="center"/>
          </w:tcPr>
          <w:p w14:paraId="6E04343D">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655" w:type="pct"/>
            <w:noWrap w:val="0"/>
            <w:vAlign w:val="center"/>
          </w:tcPr>
          <w:p w14:paraId="5B52F5C3">
            <w:pPr>
              <w:tabs>
                <w:tab w:val="left" w:pos="480"/>
              </w:tabs>
              <w:spacing w:line="360" w:lineRule="auto"/>
              <w:jc w:val="center"/>
              <w:rPr>
                <w:rFonts w:hint="eastAsia" w:ascii="仿宋" w:hAnsi="仿宋" w:eastAsia="仿宋" w:cs="仿宋"/>
                <w:color w:val="auto"/>
                <w:szCs w:val="21"/>
                <w:highlight w:val="none"/>
              </w:rPr>
            </w:pPr>
          </w:p>
        </w:tc>
        <w:tc>
          <w:tcPr>
            <w:tcW w:w="611" w:type="pct"/>
            <w:noWrap w:val="0"/>
            <w:vAlign w:val="top"/>
          </w:tcPr>
          <w:p w14:paraId="3A10144D">
            <w:pPr>
              <w:tabs>
                <w:tab w:val="left" w:pos="480"/>
              </w:tabs>
              <w:spacing w:line="360" w:lineRule="auto"/>
              <w:jc w:val="center"/>
              <w:rPr>
                <w:rFonts w:hint="eastAsia" w:ascii="仿宋" w:hAnsi="仿宋" w:eastAsia="仿宋" w:cs="仿宋"/>
                <w:color w:val="auto"/>
                <w:szCs w:val="21"/>
                <w:highlight w:val="none"/>
              </w:rPr>
            </w:pPr>
          </w:p>
        </w:tc>
        <w:tc>
          <w:tcPr>
            <w:tcW w:w="634" w:type="pct"/>
            <w:noWrap w:val="0"/>
            <w:vAlign w:val="top"/>
          </w:tcPr>
          <w:p w14:paraId="60FC80BF">
            <w:pPr>
              <w:tabs>
                <w:tab w:val="left" w:pos="480"/>
              </w:tabs>
              <w:spacing w:line="360" w:lineRule="auto"/>
              <w:jc w:val="center"/>
              <w:rPr>
                <w:rFonts w:hint="eastAsia" w:ascii="仿宋" w:hAnsi="仿宋" w:eastAsia="仿宋" w:cs="仿宋"/>
                <w:color w:val="auto"/>
                <w:szCs w:val="21"/>
                <w:highlight w:val="none"/>
              </w:rPr>
            </w:pPr>
          </w:p>
        </w:tc>
        <w:tc>
          <w:tcPr>
            <w:tcW w:w="554" w:type="pct"/>
            <w:noWrap w:val="0"/>
            <w:vAlign w:val="center"/>
          </w:tcPr>
          <w:p w14:paraId="25032215">
            <w:pPr>
              <w:tabs>
                <w:tab w:val="left" w:pos="480"/>
              </w:tabs>
              <w:spacing w:line="360" w:lineRule="auto"/>
              <w:jc w:val="center"/>
              <w:rPr>
                <w:rFonts w:hint="eastAsia" w:ascii="仿宋" w:hAnsi="仿宋" w:eastAsia="仿宋" w:cs="仿宋"/>
                <w:color w:val="auto"/>
                <w:szCs w:val="21"/>
                <w:highlight w:val="none"/>
              </w:rPr>
            </w:pPr>
          </w:p>
        </w:tc>
        <w:tc>
          <w:tcPr>
            <w:tcW w:w="476" w:type="pct"/>
            <w:noWrap w:val="0"/>
            <w:vAlign w:val="top"/>
          </w:tcPr>
          <w:p w14:paraId="7EF82763">
            <w:pPr>
              <w:tabs>
                <w:tab w:val="left" w:pos="480"/>
              </w:tabs>
              <w:spacing w:line="360" w:lineRule="auto"/>
              <w:jc w:val="center"/>
              <w:rPr>
                <w:rFonts w:hint="eastAsia" w:ascii="仿宋" w:hAnsi="仿宋" w:eastAsia="仿宋" w:cs="仿宋"/>
                <w:color w:val="auto"/>
                <w:szCs w:val="21"/>
                <w:highlight w:val="none"/>
              </w:rPr>
            </w:pPr>
          </w:p>
        </w:tc>
        <w:tc>
          <w:tcPr>
            <w:tcW w:w="597" w:type="pct"/>
            <w:noWrap w:val="0"/>
            <w:vAlign w:val="center"/>
          </w:tcPr>
          <w:p w14:paraId="4C757645">
            <w:pPr>
              <w:tabs>
                <w:tab w:val="left" w:pos="480"/>
              </w:tabs>
              <w:spacing w:line="360" w:lineRule="auto"/>
              <w:jc w:val="center"/>
              <w:rPr>
                <w:rFonts w:hint="eastAsia" w:ascii="仿宋" w:hAnsi="仿宋" w:eastAsia="仿宋" w:cs="仿宋"/>
                <w:color w:val="auto"/>
                <w:szCs w:val="21"/>
                <w:highlight w:val="none"/>
              </w:rPr>
            </w:pPr>
          </w:p>
        </w:tc>
        <w:tc>
          <w:tcPr>
            <w:tcW w:w="567" w:type="pct"/>
            <w:noWrap w:val="0"/>
            <w:vAlign w:val="top"/>
          </w:tcPr>
          <w:p w14:paraId="43EF70FC">
            <w:pPr>
              <w:tabs>
                <w:tab w:val="left" w:pos="480"/>
              </w:tabs>
              <w:spacing w:line="360" w:lineRule="auto"/>
              <w:jc w:val="center"/>
              <w:rPr>
                <w:rFonts w:hint="eastAsia" w:ascii="仿宋" w:hAnsi="仿宋" w:eastAsia="仿宋" w:cs="仿宋"/>
                <w:color w:val="auto"/>
                <w:szCs w:val="21"/>
                <w:highlight w:val="none"/>
              </w:rPr>
            </w:pPr>
          </w:p>
        </w:tc>
        <w:tc>
          <w:tcPr>
            <w:tcW w:w="496" w:type="pct"/>
            <w:noWrap w:val="0"/>
            <w:vAlign w:val="top"/>
          </w:tcPr>
          <w:p w14:paraId="7E384CC4">
            <w:pPr>
              <w:tabs>
                <w:tab w:val="left" w:pos="480"/>
              </w:tabs>
              <w:spacing w:line="360" w:lineRule="auto"/>
              <w:jc w:val="center"/>
              <w:rPr>
                <w:rFonts w:hint="eastAsia" w:ascii="仿宋" w:hAnsi="仿宋" w:eastAsia="仿宋" w:cs="仿宋"/>
                <w:color w:val="auto"/>
                <w:szCs w:val="21"/>
                <w:highlight w:val="none"/>
              </w:rPr>
            </w:pPr>
          </w:p>
        </w:tc>
      </w:tr>
      <w:tr w14:paraId="2CFE8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5000" w:type="pct"/>
            <w:gridSpan w:val="9"/>
            <w:noWrap w:val="0"/>
            <w:vAlign w:val="center"/>
          </w:tcPr>
          <w:p w14:paraId="06E27EE1">
            <w:pPr>
              <w:tabs>
                <w:tab w:val="left" w:pos="480"/>
              </w:tabs>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合计人民币（大写）：</w:t>
            </w:r>
          </w:p>
          <w:p w14:paraId="0B2C7566">
            <w:pPr>
              <w:tabs>
                <w:tab w:val="left" w:pos="480"/>
              </w:tabs>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合计：¥</w:t>
            </w:r>
          </w:p>
        </w:tc>
      </w:tr>
      <w:tr w14:paraId="4931D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407" w:type="pct"/>
            <w:noWrap w:val="0"/>
            <w:vAlign w:val="center"/>
          </w:tcPr>
          <w:p w14:paraId="4E1B42F8">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说明</w:t>
            </w:r>
          </w:p>
        </w:tc>
        <w:tc>
          <w:tcPr>
            <w:tcW w:w="4592" w:type="pct"/>
            <w:gridSpan w:val="8"/>
            <w:noWrap w:val="0"/>
            <w:vAlign w:val="center"/>
          </w:tcPr>
          <w:p w14:paraId="3A53466B">
            <w:pP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含安装、调试、检验、培训及技术服务等</w:t>
            </w:r>
          </w:p>
        </w:tc>
      </w:tr>
    </w:tbl>
    <w:p w14:paraId="770B8C04">
      <w:pPr>
        <w:pageBreakBefore w:val="0"/>
        <w:widowControl/>
        <w:kinsoku/>
        <w:wordWrap/>
        <w:overflowPunct/>
        <w:topLinePunct w:val="0"/>
        <w:autoSpaceDE/>
        <w:autoSpaceDN/>
        <w:bidi w:val="0"/>
        <w:spacing w:line="360" w:lineRule="auto"/>
        <w:ind w:firstLine="420" w:firstLineChars="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bidi="ar"/>
        </w:rPr>
        <w:t>1.本项目包内所有</w:t>
      </w:r>
      <w:r>
        <w:rPr>
          <w:rFonts w:hint="eastAsia" w:ascii="仿宋" w:hAnsi="仿宋" w:eastAsia="仿宋" w:cs="仿宋"/>
          <w:color w:val="auto"/>
          <w:kern w:val="0"/>
          <w:sz w:val="24"/>
          <w:szCs w:val="24"/>
          <w:highlight w:val="none"/>
          <w:lang w:val="en-US" w:eastAsia="zh-CN" w:bidi="ar"/>
        </w:rPr>
        <w:t>硬</w:t>
      </w:r>
      <w:r>
        <w:rPr>
          <w:rFonts w:hint="eastAsia" w:ascii="仿宋" w:hAnsi="仿宋" w:eastAsia="仿宋" w:cs="仿宋"/>
          <w:color w:val="auto"/>
          <w:kern w:val="0"/>
          <w:sz w:val="24"/>
          <w:szCs w:val="24"/>
          <w:highlight w:val="none"/>
          <w:lang w:bidi="ar"/>
        </w:rPr>
        <w:t>件</w:t>
      </w:r>
      <w:r>
        <w:rPr>
          <w:rFonts w:hint="eastAsia" w:ascii="仿宋" w:hAnsi="仿宋" w:eastAsia="仿宋" w:cs="仿宋"/>
          <w:color w:val="auto"/>
          <w:kern w:val="0"/>
          <w:sz w:val="24"/>
          <w:szCs w:val="24"/>
          <w:highlight w:val="none"/>
          <w:lang w:val="en-US" w:eastAsia="zh-CN" w:bidi="ar"/>
        </w:rPr>
        <w:t>设备</w:t>
      </w:r>
      <w:r>
        <w:rPr>
          <w:rFonts w:hint="eastAsia" w:ascii="仿宋" w:hAnsi="仿宋" w:eastAsia="仿宋" w:cs="仿宋"/>
          <w:color w:val="auto"/>
          <w:kern w:val="0"/>
          <w:sz w:val="24"/>
          <w:szCs w:val="24"/>
          <w:highlight w:val="none"/>
          <w:lang w:bidi="ar"/>
        </w:rPr>
        <w:t>必须</w:t>
      </w:r>
      <w:r>
        <w:rPr>
          <w:rFonts w:hint="eastAsia" w:ascii="仿宋" w:hAnsi="仿宋" w:eastAsia="仿宋" w:cs="仿宋"/>
          <w:color w:val="auto"/>
          <w:kern w:val="0"/>
          <w:sz w:val="24"/>
          <w:szCs w:val="24"/>
          <w:highlight w:val="none"/>
          <w:lang w:val="en-US" w:eastAsia="zh-CN" w:bidi="ar"/>
        </w:rPr>
        <w:t>符合国货国用（信创）要求。</w:t>
      </w:r>
    </w:p>
    <w:p w14:paraId="3A773666">
      <w:pPr>
        <w:pageBreakBefore w:val="0"/>
        <w:widowControl/>
        <w:kinsoku/>
        <w:wordWrap/>
        <w:overflowPunct/>
        <w:topLinePunct w:val="0"/>
        <w:autoSpaceDE/>
        <w:autoSpaceDN/>
        <w:bidi w:val="0"/>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bidi="ar"/>
        </w:rPr>
        <w:t>2.</w:t>
      </w:r>
      <w:r>
        <w:rPr>
          <w:rFonts w:hint="eastAsia" w:ascii="仿宋" w:hAnsi="仿宋" w:eastAsia="仿宋" w:cs="仿宋"/>
          <w:color w:val="auto"/>
          <w:kern w:val="0"/>
          <w:sz w:val="24"/>
          <w:szCs w:val="24"/>
          <w:highlight w:val="none"/>
          <w:lang w:val="en-US" w:eastAsia="zh-CN" w:bidi="ar"/>
        </w:rPr>
        <w:t>在项目实施与项目质保期内，须无条件配合医院电子病历应用测评、互联互通标准化成熟度测评、三级公立医院绩效考核、智慧医院评级、等级医院评审、信息安全等级保护测评、密评密改等评审评级工作。</w:t>
      </w:r>
    </w:p>
    <w:p w14:paraId="18AB589E">
      <w:pPr>
        <w:pageBreakBefore w:val="0"/>
        <w:widowControl/>
        <w:kinsoku/>
        <w:wordWrap/>
        <w:overflowPunct/>
        <w:topLinePunct w:val="0"/>
        <w:autoSpaceDE/>
        <w:autoSpaceDN/>
        <w:bidi w:val="0"/>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3.要求不得在软件内设置“时间炸弹”等限制，且所供软件系统不存在已知的信息安全漏洞，并具备完善的用户访问控制机制。</w:t>
      </w:r>
    </w:p>
    <w:p w14:paraId="0E1E2A0C">
      <w:pPr>
        <w:pageBreakBefore w:val="0"/>
        <w:widowControl/>
        <w:kinsoku/>
        <w:wordWrap/>
        <w:overflowPunct/>
        <w:topLinePunct w:val="0"/>
        <w:autoSpaceDE/>
        <w:autoSpaceDN/>
        <w:bidi w:val="0"/>
        <w:spacing w:line="360" w:lineRule="auto"/>
        <w:ind w:firstLine="480" w:firstLineChars="200"/>
        <w:jc w:val="left"/>
        <w:textAlignment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4</w:t>
      </w:r>
      <w:r>
        <w:rPr>
          <w:rFonts w:hint="eastAsia" w:ascii="仿宋" w:hAnsi="仿宋" w:eastAsia="仿宋" w:cs="仿宋"/>
          <w:color w:val="auto"/>
          <w:kern w:val="0"/>
          <w:sz w:val="24"/>
          <w:szCs w:val="24"/>
          <w:highlight w:val="none"/>
          <w:lang w:bidi="ar"/>
        </w:rPr>
        <w:t>.中标人需安排产品厂家</w:t>
      </w:r>
      <w:r>
        <w:rPr>
          <w:rFonts w:hint="eastAsia" w:ascii="仿宋" w:hAnsi="仿宋" w:eastAsia="仿宋" w:cs="仿宋"/>
          <w:color w:val="auto"/>
          <w:kern w:val="0"/>
          <w:sz w:val="24"/>
          <w:szCs w:val="24"/>
          <w:highlight w:val="none"/>
          <w:lang w:val="en-US" w:eastAsia="zh-CN" w:bidi="ar"/>
        </w:rPr>
        <w:t>进行</w:t>
      </w:r>
      <w:r>
        <w:rPr>
          <w:rFonts w:hint="eastAsia" w:ascii="仿宋" w:hAnsi="仿宋" w:eastAsia="仿宋" w:cs="仿宋"/>
          <w:color w:val="auto"/>
          <w:kern w:val="0"/>
          <w:sz w:val="24"/>
          <w:szCs w:val="24"/>
          <w:highlight w:val="none"/>
          <w:lang w:bidi="ar"/>
        </w:rPr>
        <w:t>现场培训服务，并</w:t>
      </w:r>
      <w:r>
        <w:rPr>
          <w:rFonts w:hint="eastAsia" w:ascii="仿宋" w:hAnsi="仿宋" w:eastAsia="仿宋" w:cs="仿宋"/>
          <w:color w:val="auto"/>
          <w:kern w:val="0"/>
          <w:sz w:val="24"/>
          <w:szCs w:val="24"/>
          <w:highlight w:val="none"/>
          <w:lang w:val="en-US" w:eastAsia="zh-CN" w:bidi="ar"/>
        </w:rPr>
        <w:t>提供</w:t>
      </w:r>
      <w:r>
        <w:rPr>
          <w:rFonts w:hint="eastAsia" w:ascii="仿宋" w:hAnsi="仿宋" w:eastAsia="仿宋" w:cs="仿宋"/>
          <w:color w:val="auto"/>
          <w:kern w:val="0"/>
          <w:sz w:val="24"/>
          <w:szCs w:val="24"/>
          <w:highlight w:val="none"/>
          <w:lang w:bidi="ar"/>
        </w:rPr>
        <w:t>完整的培训资料，确保医院工作人员能够熟练掌握相关系统及硬件的操作与维护。</w:t>
      </w:r>
    </w:p>
    <w:p w14:paraId="626A8087">
      <w:pPr>
        <w:tabs>
          <w:tab w:val="left" w:pos="480"/>
        </w:tabs>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二、合同价款</w:t>
      </w:r>
    </w:p>
    <w:p w14:paraId="475CF5F1">
      <w:pPr>
        <w:tabs>
          <w:tab w:val="left" w:pos="480"/>
        </w:tabs>
        <w:spacing w:line="360" w:lineRule="auto"/>
        <w:ind w:left="-199" w:leftChars="-95" w:firstLine="199" w:firstLineChars="83"/>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rPr>
        <w:t>（一）合同总价款为人民币（大写）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元）。</w:t>
      </w:r>
    </w:p>
    <w:p w14:paraId="1FC0BB5C">
      <w:pPr>
        <w:widowControl/>
        <w:spacing w:line="360" w:lineRule="auto"/>
        <w:ind w:firstLine="480" w:firstLineChars="200"/>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（二）合同总价包括：税费、货物费、运输费（含保险费）、装卸、安装调试费、检测验收、培训、技术服务及其它乙方履行合同义务所需的全部费用。甲方无需向乙方另行支付费用。</w:t>
      </w:r>
      <w:r>
        <w:rPr>
          <w:rFonts w:hint="eastAsia" w:ascii="仿宋" w:hAnsi="仿宋" w:eastAsia="仿宋" w:cs="仿宋"/>
          <w:color w:val="auto"/>
          <w:kern w:val="0"/>
          <w:sz w:val="24"/>
          <w:szCs w:val="24"/>
          <w:highlight w:val="none"/>
          <w:lang w:bidi="ar"/>
        </w:rPr>
        <w:t>本项目涉及的所有施工工作及所需辅助材料，其费用均</w:t>
      </w:r>
      <w:r>
        <w:rPr>
          <w:rFonts w:hint="eastAsia" w:ascii="仿宋" w:hAnsi="仿宋" w:eastAsia="仿宋" w:cs="仿宋"/>
          <w:color w:val="auto"/>
          <w:kern w:val="0"/>
          <w:sz w:val="24"/>
          <w:szCs w:val="24"/>
          <w:highlight w:val="none"/>
          <w:lang w:val="en-US" w:eastAsia="zh-CN" w:bidi="ar"/>
        </w:rPr>
        <w:t>已包含在本项目内</w:t>
      </w:r>
      <w:r>
        <w:rPr>
          <w:rFonts w:hint="eastAsia" w:ascii="仿宋" w:hAnsi="仿宋" w:eastAsia="仿宋" w:cs="仿宋"/>
          <w:color w:val="auto"/>
          <w:kern w:val="0"/>
          <w:sz w:val="24"/>
          <w:szCs w:val="24"/>
          <w:highlight w:val="none"/>
          <w:lang w:bidi="ar"/>
        </w:rPr>
        <w:t>。中标方应按照项目要求，精心组织施工，确保施工质量，不得因施工及辅材费用问题影响项目进度与质量。</w:t>
      </w:r>
    </w:p>
    <w:p w14:paraId="1FE6B0AD">
      <w:pPr>
        <w:tabs>
          <w:tab w:val="left" w:pos="480"/>
        </w:tabs>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三、款项结算</w:t>
      </w:r>
    </w:p>
    <w:p w14:paraId="55D13298">
      <w:pPr>
        <w:spacing w:line="360" w:lineRule="auto"/>
        <w:ind w:firstLine="480" w:firstLineChars="200"/>
        <w:rPr>
          <w:rFonts w:hint="eastAsia" w:ascii="仿宋" w:hAnsi="仿宋" w:eastAsia="仿宋" w:cs="仿宋"/>
          <w:color w:val="auto"/>
          <w:sz w:val="24"/>
          <w:szCs w:val="24"/>
          <w:highlight w:val="none"/>
        </w:rPr>
      </w:pPr>
      <w:bookmarkStart w:id="0" w:name="OLE_LINK3"/>
      <w:r>
        <w:rPr>
          <w:rFonts w:hint="eastAsia" w:ascii="仿宋" w:hAnsi="仿宋" w:eastAsia="仿宋" w:cs="仿宋"/>
          <w:color w:val="auto"/>
          <w:sz w:val="24"/>
          <w:szCs w:val="24"/>
          <w:highlight w:val="none"/>
        </w:rPr>
        <w:t>（一）所有货物到达甲方指定地点安装、调试</w:t>
      </w:r>
      <w:r>
        <w:rPr>
          <w:rFonts w:hint="eastAsia" w:ascii="仿宋" w:hAnsi="仿宋" w:eastAsia="仿宋" w:cs="仿宋"/>
          <w:color w:val="auto"/>
          <w:sz w:val="24"/>
          <w:szCs w:val="24"/>
          <w:highlight w:val="none"/>
          <w:lang w:val="en-US" w:eastAsia="zh-CN"/>
        </w:rPr>
        <w:t>后甲方组织进行初验，初验</w:t>
      </w:r>
      <w:r>
        <w:rPr>
          <w:rFonts w:hint="eastAsia" w:ascii="仿宋" w:hAnsi="仿宋" w:eastAsia="仿宋" w:cs="仿宋"/>
          <w:color w:val="auto"/>
          <w:sz w:val="24"/>
          <w:szCs w:val="24"/>
          <w:highlight w:val="none"/>
        </w:rPr>
        <w:t>合格后，乙方须按其投标文件中响应的投标价格提供全额发票，甲方于收到发票后的一个月内支付合同总价款</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%，即人民币（大写）            （¥           ）。</w:t>
      </w:r>
    </w:p>
    <w:p w14:paraId="385F79F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乙方延期提供发票或提供的发票不符合甲方要求的，甲方有权拒付合同款项且不承担任何法律责任。因乙方原因导致甲方不能及时付款的，甲方无需承担任何责任。</w:t>
      </w:r>
    </w:p>
    <w:p w14:paraId="16DF623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（二）货物</w:t>
      </w:r>
      <w:r>
        <w:rPr>
          <w:rFonts w:hint="eastAsia" w:ascii="仿宋" w:hAnsi="仿宋" w:eastAsia="仿宋" w:cs="仿宋"/>
          <w:color w:val="auto"/>
          <w:sz w:val="24"/>
          <w:szCs w:val="24"/>
          <w:highlight w:val="none"/>
          <w:lang w:val="en-US" w:eastAsia="zh-CN"/>
        </w:rPr>
        <w:t>试运行3个月后且无重大故障，甲方组织专家进行终验，终验</w:t>
      </w:r>
      <w:r>
        <w:rPr>
          <w:rFonts w:hint="eastAsia" w:ascii="仿宋" w:hAnsi="仿宋" w:eastAsia="仿宋" w:cs="仿宋"/>
          <w:color w:val="auto"/>
          <w:sz w:val="24"/>
          <w:szCs w:val="24"/>
          <w:highlight w:val="none"/>
        </w:rPr>
        <w:t>合格后，无息支付合同总价款的</w:t>
      </w:r>
      <w:r>
        <w:rPr>
          <w:rFonts w:hint="eastAsia" w:ascii="仿宋" w:hAnsi="仿宋" w:eastAsia="仿宋" w:cs="仿宋"/>
          <w:color w:val="auto"/>
          <w:sz w:val="24"/>
          <w:szCs w:val="24"/>
          <w:highlight w:val="none"/>
          <w:lang w:val="en-US" w:eastAsia="zh-CN"/>
        </w:rPr>
        <w:t>60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即人民币（大写）        （¥           ）。</w:t>
      </w:r>
    </w:p>
    <w:p w14:paraId="0EBC816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（三）货物</w:t>
      </w:r>
      <w:r>
        <w:rPr>
          <w:rFonts w:hint="eastAsia" w:ascii="仿宋" w:hAnsi="仿宋" w:eastAsia="仿宋" w:cs="仿宋"/>
          <w:color w:val="auto"/>
          <w:sz w:val="24"/>
          <w:szCs w:val="24"/>
          <w:highlight w:val="none"/>
          <w:lang w:val="en-US" w:eastAsia="zh-CN"/>
        </w:rPr>
        <w:t>终验</w:t>
      </w:r>
      <w:r>
        <w:rPr>
          <w:rFonts w:hint="eastAsia" w:ascii="仿宋" w:hAnsi="仿宋" w:eastAsia="仿宋" w:cs="仿宋"/>
          <w:color w:val="auto"/>
          <w:sz w:val="24"/>
          <w:szCs w:val="24"/>
          <w:highlight w:val="none"/>
        </w:rPr>
        <w:t>合格满</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个月</w:t>
      </w:r>
      <w:r>
        <w:rPr>
          <w:rFonts w:hint="eastAsia" w:ascii="仿宋" w:hAnsi="仿宋" w:eastAsia="仿宋" w:cs="仿宋"/>
          <w:color w:val="auto"/>
          <w:sz w:val="24"/>
          <w:szCs w:val="24"/>
          <w:highlight w:val="none"/>
          <w:lang w:val="en-US" w:eastAsia="zh-CN"/>
        </w:rPr>
        <w:t>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支付合同总金额（无息）的 10%，</w:t>
      </w:r>
      <w:r>
        <w:rPr>
          <w:rFonts w:hint="eastAsia" w:ascii="仿宋" w:hAnsi="仿宋" w:eastAsia="仿宋" w:cs="仿宋"/>
          <w:color w:val="auto"/>
          <w:sz w:val="24"/>
          <w:szCs w:val="24"/>
          <w:highlight w:val="none"/>
        </w:rPr>
        <w:t>即人民币（大写）           （¥           ）。</w:t>
      </w:r>
    </w:p>
    <w:bookmarkEnd w:id="0"/>
    <w:p w14:paraId="1BBC199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（四）支付方式：银行转帐。乙方保证其提供的账号准确无误，若在合同履行期间发生变更，乙方需及时书面通知甲方，否则由此产生的后果由乙方承担。</w:t>
      </w:r>
    </w:p>
    <w:p w14:paraId="3E3FA4A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（五）结算方式：乙方持验收合格单，全额合规发票（按合同总价值开甲方），中标通知书、供货合同，与甲方结算。</w:t>
      </w:r>
    </w:p>
    <w:p w14:paraId="2BE9C3BA">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四、交货条件</w:t>
      </w:r>
    </w:p>
    <w:p w14:paraId="33E29432">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（一）交货地点：西安市中心医院指定地点。</w:t>
      </w:r>
    </w:p>
    <w:p w14:paraId="7D698698">
      <w:pPr>
        <w:pageBreakBefore w:val="0"/>
        <w:widowControl/>
        <w:kinsoku/>
        <w:wordWrap/>
        <w:overflowPunct/>
        <w:topLinePunct w:val="0"/>
        <w:autoSpaceDE/>
        <w:autoSpaceDN/>
        <w:bidi w:val="0"/>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sz w:val="24"/>
          <w:szCs w:val="24"/>
          <w:highlight w:val="none"/>
        </w:rPr>
        <w:t>（二）交货期：</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kern w:val="0"/>
          <w:sz w:val="24"/>
          <w:szCs w:val="24"/>
          <w:highlight w:val="none"/>
          <w:lang w:val="en-US" w:eastAsia="zh-CN" w:bidi="ar"/>
        </w:rPr>
        <w:t>合同签订之日起3个月交付全部产品并经采购人验收合格。</w:t>
      </w:r>
    </w:p>
    <w:p w14:paraId="5275A712">
      <w:pPr>
        <w:tabs>
          <w:tab w:val="left" w:pos="480"/>
        </w:tabs>
        <w:spacing w:line="360" w:lineRule="auto"/>
        <w:ind w:firstLine="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合同签订后，乙方应按项目工期要求供应设备，如延期供货</w:t>
      </w:r>
      <w:r>
        <w:rPr>
          <w:rFonts w:hint="eastAsia" w:ascii="仿宋" w:hAnsi="仿宋" w:eastAsia="仿宋" w:cs="仿宋"/>
          <w:color w:val="auto"/>
          <w:sz w:val="24"/>
          <w:szCs w:val="24"/>
          <w:highlight w:val="none"/>
        </w:rPr>
        <w:t>应按第十条第（三）款之约定承担违约责任。安装调试过程中出现的安全责任问题由乙方承担全部责任。</w:t>
      </w:r>
    </w:p>
    <w:p w14:paraId="4593F0E2">
      <w:pPr>
        <w:tabs>
          <w:tab w:val="left" w:pos="480"/>
        </w:tabs>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合格后提供</w:t>
      </w:r>
      <w:r>
        <w:rPr>
          <w:rFonts w:hint="eastAsia" w:ascii="仿宋" w:hAnsi="仿宋" w:eastAsia="仿宋" w:cs="仿宋"/>
          <w:color w:val="auto"/>
          <w:sz w:val="24"/>
          <w:szCs w:val="24"/>
          <w:highlight w:val="none"/>
          <w:lang w:val="en-US" w:eastAsia="zh-CN"/>
        </w:rPr>
        <w:t>自检报告</w:t>
      </w:r>
      <w:r>
        <w:rPr>
          <w:rFonts w:hint="eastAsia" w:ascii="仿宋" w:hAnsi="仿宋" w:eastAsia="仿宋" w:cs="仿宋"/>
          <w:color w:val="auto"/>
          <w:sz w:val="24"/>
          <w:szCs w:val="24"/>
          <w:highlight w:val="none"/>
        </w:rPr>
        <w:t>方可达到交付条件。</w:t>
      </w:r>
    </w:p>
    <w:p w14:paraId="33496D68">
      <w:pPr>
        <w:tabs>
          <w:tab w:val="left" w:pos="480"/>
        </w:tabs>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五、运输</w:t>
      </w:r>
    </w:p>
    <w:p w14:paraId="780125F7">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（一）运输由乙方负责，运杂费已包含在合同总价内，包括从货物供应地点至交货地点所含的运输费、装卸费、仓储费、保险费等。</w:t>
      </w:r>
    </w:p>
    <w:p w14:paraId="6F04BEFD">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（二）运输方式由乙方自行选择，但必须保证按期交货。</w:t>
      </w:r>
    </w:p>
    <w:p w14:paraId="772B1643">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（三）货物验收合格前产生的一切</w:t>
      </w:r>
      <w:r>
        <w:rPr>
          <w:rFonts w:hint="eastAsia" w:ascii="仿宋" w:hAnsi="仿宋" w:eastAsia="仿宋" w:cs="仿宋"/>
          <w:color w:val="auto"/>
          <w:sz w:val="24"/>
          <w:szCs w:val="24"/>
          <w:highlight w:val="none"/>
          <w:lang w:eastAsia="zh-Hans"/>
        </w:rPr>
        <w:t>毁损、灭失的</w:t>
      </w:r>
      <w:r>
        <w:rPr>
          <w:rFonts w:hint="eastAsia" w:ascii="仿宋" w:hAnsi="仿宋" w:eastAsia="仿宋" w:cs="仿宋"/>
          <w:color w:val="auto"/>
          <w:sz w:val="24"/>
          <w:szCs w:val="24"/>
          <w:highlight w:val="none"/>
        </w:rPr>
        <w:t>风险及质量问题均由乙方承担。</w:t>
      </w:r>
    </w:p>
    <w:p w14:paraId="33E1A8B5">
      <w:pPr>
        <w:tabs>
          <w:tab w:val="left" w:pos="480"/>
        </w:tabs>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六、质量保证</w:t>
      </w:r>
    </w:p>
    <w:p w14:paraId="4A1A4030">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乙方所供货物必须执行下列条款：</w:t>
      </w:r>
    </w:p>
    <w:p w14:paraId="412CA0AD">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（一）保证技术指标先进、质量性能可靠、进货渠道正常，配置合理，全面满足招标文件要求。</w:t>
      </w:r>
    </w:p>
    <w:p w14:paraId="5446EC50">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（二）符合国家有关规范要求，确保达到最佳运行状态，对于由于产品设计、工艺或材料的缺陷而产生的质量问题负责。</w:t>
      </w:r>
    </w:p>
    <w:p w14:paraId="339B880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（三）具有良好的外观，适合安装场所的使用。</w:t>
      </w:r>
    </w:p>
    <w:p w14:paraId="14AFA805">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（四）自安装、调试正常运行并验收合格之日起：</w:t>
      </w:r>
    </w:p>
    <w:p w14:paraId="3EB784B2">
      <w:pPr>
        <w:tabs>
          <w:tab w:val="left" w:pos="480"/>
        </w:tabs>
        <w:spacing w:line="36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1、质保期：提供原厂整机免费质保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终身维护。质保期内，同一主要部件出现质量问题经过两次维修后仍无法正常使用的，可以更换同型号、同规格的全新产品，乙方在2小时内提出解决问题的办法，如需到现场进行维修，乙方在8小时内安排生产厂家技术人员到设备现场进行维修；乙方提供保修期内每年不少于四次</w:t>
      </w:r>
      <w:r>
        <w:rPr>
          <w:rFonts w:hint="eastAsia" w:ascii="仿宋" w:hAnsi="仿宋" w:eastAsia="仿宋" w:cs="仿宋"/>
          <w:color w:val="auto"/>
          <w:sz w:val="24"/>
          <w:szCs w:val="24"/>
          <w:highlight w:val="none"/>
          <w:lang w:val="en-US" w:eastAsia="zh-CN"/>
        </w:rPr>
        <w:t>巡检</w:t>
      </w:r>
      <w:r>
        <w:rPr>
          <w:rFonts w:hint="eastAsia" w:ascii="仿宋" w:hAnsi="仿宋" w:eastAsia="仿宋" w:cs="仿宋"/>
          <w:color w:val="auto"/>
          <w:sz w:val="24"/>
          <w:szCs w:val="24"/>
          <w:highlight w:val="none"/>
        </w:rPr>
        <w:t>维护保养；乙方保证年开机率≥95％（一年按365天计算）；如有问题在48小时内修复（每超一天保修延长5天），对问题较大72小时内暂不能解决的，为不影响甲方正常工作，乙方在5日内免费提供替代产品，并确保正常运行；若乙方未按照上述约定期限内及时解决问题,造成甲方损失扩大的,乙方应就损失扩大部分承担赔偿责任。</w:t>
      </w:r>
      <w:r>
        <w:rPr>
          <w:rFonts w:hint="eastAsia" w:ascii="仿宋" w:hAnsi="仿宋" w:eastAsia="仿宋" w:cs="仿宋"/>
          <w:color w:val="auto"/>
          <w:kern w:val="0"/>
          <w:sz w:val="24"/>
          <w:szCs w:val="24"/>
          <w:highlight w:val="none"/>
          <w:lang w:val="en-US" w:eastAsia="zh-CN" w:bidi="ar"/>
        </w:rPr>
        <w:t>本项目所含软件、策略等升级服务均属质保期范围内的服务内容。</w:t>
      </w:r>
    </w:p>
    <w:p w14:paraId="1BAA6AB8">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2、30天内，如出现质量问题，甲方可以选择换货或退货 </w:t>
      </w:r>
    </w:p>
    <w:p w14:paraId="48C1044E">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3、7天内，如出现质量问题，甲方可选择换货。</w:t>
      </w:r>
    </w:p>
    <w:p w14:paraId="1A39D8F7">
      <w:pPr>
        <w:numPr>
          <w:ilvl w:val="0"/>
          <w:numId w:val="1"/>
        </w:num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保证设备</w:t>
      </w:r>
      <w:r>
        <w:rPr>
          <w:rFonts w:hint="eastAsia" w:ascii="仿宋" w:hAnsi="仿宋" w:eastAsia="仿宋" w:cs="仿宋"/>
          <w:color w:val="auto"/>
          <w:sz w:val="24"/>
          <w:szCs w:val="24"/>
          <w:highlight w:val="none"/>
          <w:lang w:val="en-US" w:eastAsia="zh-CN"/>
        </w:rPr>
        <w:t>与甲方相关信息化网络系统免费对接或链接，乙方</w:t>
      </w:r>
      <w:r>
        <w:rPr>
          <w:rFonts w:hint="eastAsia" w:ascii="仿宋" w:hAnsi="仿宋" w:eastAsia="仿宋" w:cs="仿宋"/>
          <w:color w:val="auto"/>
          <w:sz w:val="24"/>
          <w:szCs w:val="24"/>
          <w:highlight w:val="none"/>
        </w:rPr>
        <w:t>承诺在甲方使用产品期间免费对该产品进行系统升级和维护。</w:t>
      </w:r>
    </w:p>
    <w:p w14:paraId="15FA3D84">
      <w:pPr>
        <w:tabs>
          <w:tab w:val="left" w:pos="480"/>
        </w:tabs>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七</w:t>
      </w:r>
      <w:r>
        <w:rPr>
          <w:rFonts w:hint="eastAsia" w:ascii="仿宋" w:hAnsi="仿宋" w:eastAsia="仿宋" w:cs="仿宋"/>
          <w:b/>
          <w:bCs/>
          <w:color w:val="auto"/>
          <w:sz w:val="24"/>
          <w:szCs w:val="24"/>
          <w:highlight w:val="none"/>
        </w:rPr>
        <w:t>、双方的权利和义务</w:t>
      </w:r>
    </w:p>
    <w:p w14:paraId="4ED8BF78">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418DB838">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（甲、乙双方约定）甲方提供场地配合乙方安装调试，按招标文件来规范乙方。</w:t>
      </w:r>
    </w:p>
    <w:p w14:paraId="68F7BA02">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12F3BA8E">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（甲、乙双方约定）乙方按照合同约定保证提供全新原厂设备，按时到货安装，并承担招标文件所规定的义务。</w:t>
      </w:r>
    </w:p>
    <w:p w14:paraId="1BC756CF">
      <w:pPr>
        <w:tabs>
          <w:tab w:val="left" w:pos="480"/>
        </w:tabs>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八</w:t>
      </w:r>
      <w:r>
        <w:rPr>
          <w:rFonts w:hint="eastAsia" w:ascii="仿宋" w:hAnsi="仿宋" w:eastAsia="仿宋" w:cs="仿宋"/>
          <w:b/>
          <w:bCs/>
          <w:color w:val="auto"/>
          <w:sz w:val="24"/>
          <w:szCs w:val="24"/>
          <w:highlight w:val="none"/>
        </w:rPr>
        <w:t>、售后服务</w:t>
      </w:r>
    </w:p>
    <w:p w14:paraId="7B9C9D5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乙方为所供货物提供以下售后服务：</w:t>
      </w:r>
    </w:p>
    <w:p w14:paraId="48ED87A3">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（一）质保期内：</w:t>
      </w:r>
    </w:p>
    <w:p w14:paraId="358FEA2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1、发生质量问题，接到甲方通知后，应于当日派出专业的维修人员到现场进行检测维修，发生的全部费用由乙方承担，若需送回生产厂，乙方承担往返费用；</w:t>
      </w:r>
    </w:p>
    <w:p w14:paraId="74D8AF41">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2、每年四次派技术人员到现场</w:t>
      </w:r>
      <w:r>
        <w:rPr>
          <w:rFonts w:hint="eastAsia" w:ascii="仿宋" w:hAnsi="仿宋" w:eastAsia="仿宋" w:cs="仿宋"/>
          <w:color w:val="auto"/>
          <w:sz w:val="24"/>
          <w:szCs w:val="24"/>
          <w:highlight w:val="none"/>
          <w:lang w:val="en-US" w:eastAsia="zh-CN"/>
        </w:rPr>
        <w:t>巡检</w:t>
      </w:r>
      <w:r>
        <w:rPr>
          <w:rFonts w:hint="eastAsia" w:ascii="仿宋" w:hAnsi="仿宋" w:eastAsia="仿宋" w:cs="仿宋"/>
          <w:color w:val="auto"/>
          <w:sz w:val="24"/>
          <w:szCs w:val="24"/>
          <w:highlight w:val="none"/>
        </w:rPr>
        <w:t>，给予检查维护；</w:t>
      </w:r>
    </w:p>
    <w:p w14:paraId="32EB2CCF">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3、排除故障的期限不超过48小时。否则甲方有权指定第三方维修，维修费用由乙方承担，甲方有权直接从未付合同款中扣除，未付合同款无法支付全部维修费用的，超出部分由乙方另行承担。</w:t>
      </w:r>
    </w:p>
    <w:p w14:paraId="6BF5CF8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（二）质保期结束前，进行系统测试，全面保养维护，确保正常运行。</w:t>
      </w:r>
    </w:p>
    <w:p w14:paraId="76F764E4">
      <w:pPr>
        <w:tabs>
          <w:tab w:val="left" w:pos="480"/>
        </w:tabs>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九</w:t>
      </w:r>
      <w:r>
        <w:rPr>
          <w:rFonts w:hint="eastAsia" w:ascii="仿宋" w:hAnsi="仿宋" w:eastAsia="仿宋" w:cs="仿宋"/>
          <w:b/>
          <w:bCs/>
          <w:color w:val="auto"/>
          <w:sz w:val="24"/>
          <w:szCs w:val="24"/>
          <w:highlight w:val="none"/>
        </w:rPr>
        <w:t>、技术与服务</w:t>
      </w:r>
    </w:p>
    <w:p w14:paraId="1A604755">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（一）技术资料：</w:t>
      </w:r>
    </w:p>
    <w:p w14:paraId="39DCF337">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1、货物合格证；</w:t>
      </w:r>
    </w:p>
    <w:p w14:paraId="39D38653">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2、货物使用说明书（中文）；</w:t>
      </w:r>
    </w:p>
    <w:p w14:paraId="2B97855D">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、乙方提供相关部门出具的检验测试报告；</w:t>
      </w:r>
    </w:p>
    <w:p w14:paraId="04998422">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、其它资料。</w:t>
      </w:r>
    </w:p>
    <w:p w14:paraId="1D7E23A1">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乙方应在供货时一并提供前述技术资料，否则均视为交付不合格，甲方有权拒绝验收，由此造成的一切后果由乙方承担。</w:t>
      </w:r>
    </w:p>
    <w:p w14:paraId="605A6F2A">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（二）培训：乙方须在设备安装调试完成后对甲方</w:t>
      </w:r>
      <w:r>
        <w:rPr>
          <w:rFonts w:hint="eastAsia" w:ascii="仿宋" w:hAnsi="仿宋" w:eastAsia="仿宋" w:cs="仿宋"/>
          <w:color w:val="auto"/>
          <w:sz w:val="24"/>
          <w:szCs w:val="24"/>
          <w:highlight w:val="none"/>
          <w:lang w:val="en-US" w:eastAsia="zh-CN"/>
        </w:rPr>
        <w:t>使用</w:t>
      </w:r>
      <w:r>
        <w:rPr>
          <w:rFonts w:hint="eastAsia" w:ascii="仿宋" w:hAnsi="仿宋" w:eastAsia="仿宋" w:cs="仿宋"/>
          <w:color w:val="auto"/>
          <w:sz w:val="24"/>
          <w:szCs w:val="24"/>
          <w:highlight w:val="none"/>
        </w:rPr>
        <w:t>人员进行完整</w:t>
      </w:r>
      <w:r>
        <w:rPr>
          <w:rFonts w:hint="eastAsia" w:ascii="仿宋" w:hAnsi="仿宋" w:eastAsia="仿宋" w:cs="仿宋"/>
          <w:color w:val="auto"/>
          <w:sz w:val="24"/>
          <w:szCs w:val="24"/>
          <w:highlight w:val="none"/>
          <w:lang w:val="en-US" w:eastAsia="zh-CN"/>
        </w:rPr>
        <w:t>操作</w:t>
      </w:r>
      <w:r>
        <w:rPr>
          <w:rFonts w:hint="eastAsia" w:ascii="仿宋" w:hAnsi="仿宋" w:eastAsia="仿宋" w:cs="仿宋"/>
          <w:color w:val="auto"/>
          <w:sz w:val="24"/>
          <w:szCs w:val="24"/>
          <w:highlight w:val="none"/>
        </w:rPr>
        <w:t>使用、保养等培训，确保受训人员可熟练、独立使用设备，是否完成培训视为货物验收必备条件之一；</w:t>
      </w:r>
    </w:p>
    <w:p w14:paraId="468436D7">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（三）服务承诺：以投标文件、澄清表（函）、合同和随货物的相关文件为准。</w:t>
      </w:r>
    </w:p>
    <w:p w14:paraId="5089333A">
      <w:pPr>
        <w:tabs>
          <w:tab w:val="left" w:pos="480"/>
        </w:tabs>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w:t>
      </w:r>
      <w:r>
        <w:rPr>
          <w:rFonts w:hint="eastAsia" w:ascii="仿宋" w:hAnsi="仿宋" w:eastAsia="仿宋" w:cs="仿宋"/>
          <w:b/>
          <w:bCs/>
          <w:color w:val="auto"/>
          <w:sz w:val="24"/>
          <w:szCs w:val="24"/>
          <w:highlight w:val="none"/>
        </w:rPr>
        <w:t>、验收</w:t>
      </w:r>
    </w:p>
    <w:p w14:paraId="033C9BA1">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（一）货物到达甲方指定地点后，</w:t>
      </w:r>
      <w:r>
        <w:rPr>
          <w:rFonts w:hint="eastAsia" w:ascii="仿宋" w:hAnsi="仿宋" w:eastAsia="仿宋" w:cs="仿宋"/>
          <w:color w:val="auto"/>
          <w:sz w:val="24"/>
          <w:szCs w:val="24"/>
          <w:highlight w:val="none"/>
          <w:lang w:val="en-US" w:eastAsia="zh-CN"/>
        </w:rPr>
        <w:t>甲方进行签收（</w:t>
      </w:r>
      <w:r>
        <w:rPr>
          <w:rFonts w:hint="eastAsia" w:ascii="仿宋" w:hAnsi="仿宋" w:eastAsia="仿宋" w:cs="仿宋"/>
          <w:color w:val="auto"/>
          <w:sz w:val="24"/>
          <w:szCs w:val="24"/>
          <w:highlight w:val="none"/>
        </w:rPr>
        <w:t>外观验收，确认产地、规格、型号和数量</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rPr>
        <w:t>甲乙双方需在约定的时间和地点共同开箱检验。</w:t>
      </w:r>
    </w:p>
    <w:p w14:paraId="39C988EF">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（二）货物安装、调试并正常运行后，由乙方进行自检，合格后能够正常使用时书面通知甲方。</w:t>
      </w:r>
    </w:p>
    <w:p w14:paraId="2BC15532">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（三）甲方确认接收乙方的自检内容后，</w:t>
      </w:r>
      <w:r>
        <w:rPr>
          <w:rFonts w:hint="eastAsia" w:ascii="仿宋" w:hAnsi="仿宋" w:eastAsia="仿宋" w:cs="仿宋"/>
          <w:color w:val="auto"/>
          <w:sz w:val="24"/>
          <w:szCs w:val="24"/>
          <w:highlight w:val="none"/>
          <w:lang w:val="en-US" w:eastAsia="zh-CN"/>
        </w:rPr>
        <w:t>甲方组织</w:t>
      </w:r>
      <w:r>
        <w:rPr>
          <w:rFonts w:hint="eastAsia" w:ascii="仿宋" w:hAnsi="仿宋" w:eastAsia="仿宋" w:cs="仿宋"/>
          <w:color w:val="auto"/>
          <w:sz w:val="24"/>
          <w:szCs w:val="24"/>
          <w:highlight w:val="none"/>
        </w:rPr>
        <w:t>进行</w:t>
      </w:r>
      <w:r>
        <w:rPr>
          <w:rFonts w:hint="eastAsia" w:ascii="仿宋" w:hAnsi="仿宋" w:eastAsia="仿宋" w:cs="仿宋"/>
          <w:color w:val="auto"/>
          <w:sz w:val="24"/>
          <w:szCs w:val="24"/>
          <w:highlight w:val="none"/>
          <w:lang w:val="en-US" w:eastAsia="zh-CN"/>
        </w:rPr>
        <w:t>初验</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初验</w:t>
      </w:r>
      <w:r>
        <w:rPr>
          <w:rFonts w:hint="eastAsia" w:ascii="仿宋" w:hAnsi="仿宋" w:eastAsia="仿宋" w:cs="仿宋"/>
          <w:color w:val="auto"/>
          <w:sz w:val="24"/>
          <w:szCs w:val="24"/>
          <w:highlight w:val="none"/>
        </w:rPr>
        <w:t>合格后，由乙方对甲方</w:t>
      </w:r>
      <w:r>
        <w:rPr>
          <w:rFonts w:hint="eastAsia" w:ascii="仿宋" w:hAnsi="仿宋" w:eastAsia="仿宋" w:cs="仿宋"/>
          <w:color w:val="auto"/>
          <w:sz w:val="24"/>
          <w:szCs w:val="24"/>
          <w:highlight w:val="none"/>
          <w:lang w:val="en-US" w:eastAsia="zh-CN"/>
        </w:rPr>
        <w:t>使用</w:t>
      </w:r>
      <w:r>
        <w:rPr>
          <w:rFonts w:hint="eastAsia" w:ascii="仿宋" w:hAnsi="仿宋" w:eastAsia="仿宋" w:cs="仿宋"/>
          <w:color w:val="auto"/>
          <w:sz w:val="24"/>
          <w:szCs w:val="24"/>
          <w:highlight w:val="none"/>
        </w:rPr>
        <w:t>人员进行</w:t>
      </w:r>
      <w:r>
        <w:rPr>
          <w:rFonts w:hint="eastAsia" w:ascii="仿宋" w:hAnsi="仿宋" w:eastAsia="仿宋" w:cs="仿宋"/>
          <w:color w:val="auto"/>
          <w:sz w:val="24"/>
          <w:szCs w:val="24"/>
          <w:highlight w:val="none"/>
          <w:lang w:val="en-US" w:eastAsia="zh-CN"/>
        </w:rPr>
        <w:t>操作</w:t>
      </w:r>
      <w:r>
        <w:rPr>
          <w:rFonts w:hint="eastAsia" w:ascii="仿宋" w:hAnsi="仿宋" w:eastAsia="仿宋" w:cs="仿宋"/>
          <w:color w:val="auto"/>
          <w:sz w:val="24"/>
          <w:szCs w:val="24"/>
          <w:highlight w:val="none"/>
        </w:rPr>
        <w:t>培训。</w:t>
      </w:r>
    </w:p>
    <w:p w14:paraId="15D41F13">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（四）乙方</w:t>
      </w:r>
      <w:r>
        <w:rPr>
          <w:rFonts w:hint="eastAsia" w:ascii="仿宋" w:hAnsi="仿宋" w:eastAsia="仿宋" w:cs="仿宋"/>
          <w:color w:val="auto"/>
          <w:sz w:val="24"/>
          <w:szCs w:val="24"/>
          <w:highlight w:val="none"/>
          <w:lang w:val="en-US" w:eastAsia="zh-CN"/>
        </w:rPr>
        <w:t>按</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en-US" w:eastAsia="zh-CN"/>
        </w:rPr>
        <w:t>要求的文档规范</w:t>
      </w:r>
      <w:r>
        <w:rPr>
          <w:rFonts w:hint="eastAsia" w:ascii="仿宋" w:hAnsi="仿宋" w:eastAsia="仿宋" w:cs="仿宋"/>
          <w:color w:val="auto"/>
          <w:sz w:val="24"/>
          <w:szCs w:val="24"/>
          <w:highlight w:val="none"/>
        </w:rPr>
        <w:t>提交货物实施过程中的所有资料。以便甲方日后管理和维护。</w:t>
      </w:r>
    </w:p>
    <w:p w14:paraId="5F59B46A">
      <w:pPr>
        <w:tabs>
          <w:tab w:val="left" w:pos="480"/>
        </w:tabs>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设备试运行3个月后且无重大故障，甲方组织专家进行终验。（必要时请有关专家，由乙方承担聘请专家的费用）。</w:t>
      </w:r>
    </w:p>
    <w:p w14:paraId="39956A76">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）验收依据：</w:t>
      </w:r>
    </w:p>
    <w:p w14:paraId="6656CFDC">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1、本合同及合同附件。</w:t>
      </w:r>
    </w:p>
    <w:p w14:paraId="4F3C1479">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2、国家相应的标准、规范。</w:t>
      </w:r>
    </w:p>
    <w:p w14:paraId="517A9FC2">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3、招标文件、投标文件、中标通知书、澄清表（函）。</w:t>
      </w:r>
    </w:p>
    <w:p w14:paraId="355795B2">
      <w:pPr>
        <w:tabs>
          <w:tab w:val="left" w:pos="480"/>
        </w:tabs>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rPr>
        <w:t>、违约责任</w:t>
      </w:r>
    </w:p>
    <w:p w14:paraId="35D2A5B7">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（一）按《政府采购法》、《民法典》中的相关条款执行。</w:t>
      </w:r>
    </w:p>
    <w:p w14:paraId="3A6A8902">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（二）乙方未按合同要求提供货物或质量不能满足本合同、招标文件、投标文件等相关文件要求时，</w:t>
      </w:r>
      <w:r>
        <w:rPr>
          <w:rFonts w:hint="eastAsia" w:ascii="仿宋" w:hAnsi="仿宋" w:eastAsia="仿宋" w:cs="仿宋"/>
          <w:color w:val="auto"/>
          <w:sz w:val="24"/>
          <w:szCs w:val="24"/>
          <w:highlight w:val="none"/>
          <w:lang w:eastAsia="zh-Hans"/>
        </w:rPr>
        <w:t>甲方验收不合格的或出现质量问题，</w:t>
      </w:r>
      <w:r>
        <w:rPr>
          <w:rFonts w:hint="eastAsia" w:ascii="仿宋" w:hAnsi="仿宋" w:eastAsia="仿宋" w:cs="仿宋"/>
          <w:color w:val="auto"/>
          <w:sz w:val="24"/>
          <w:szCs w:val="24"/>
          <w:highlight w:val="none"/>
        </w:rPr>
        <w:t>在约定的条件下，乙方必须无条件按照甲方要求的时限进行更换，提高技术，完善质量，否则，甲方有权解除合同，解除合同书面通知书到达乙方之日视为合同已解除，并按以下两种方式追究乙方的违约责任：</w:t>
      </w:r>
    </w:p>
    <w:p w14:paraId="33F7D03C">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1、乙方赔偿甲方解除合同的全部损失（包括但不限于重新采购产生的费用、合同未履行导致设备不能按规划交付使用可能产生的租赁费用及其它由此造成的甲方对第三方的违约损失）；</w:t>
      </w:r>
    </w:p>
    <w:p w14:paraId="2C4F9F6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2、乙方支付甲方违约金，违约金计算方法：以合同总价为基数，支付甲方合同总价的30%为违约金</w:t>
      </w:r>
      <w:r>
        <w:rPr>
          <w:rFonts w:hint="eastAsia" w:ascii="仿宋" w:hAnsi="仿宋" w:eastAsia="仿宋" w:cs="仿宋"/>
          <w:color w:val="auto"/>
          <w:sz w:val="24"/>
          <w:szCs w:val="24"/>
          <w:highlight w:val="none"/>
          <w:lang w:eastAsia="zh-Hans"/>
        </w:rPr>
        <w:t>，</w:t>
      </w:r>
      <w:r>
        <w:rPr>
          <w:rFonts w:hint="eastAsia" w:ascii="仿宋" w:hAnsi="仿宋" w:eastAsia="仿宋" w:cs="仿宋"/>
          <w:color w:val="auto"/>
          <w:sz w:val="24"/>
          <w:szCs w:val="24"/>
          <w:highlight w:val="none"/>
        </w:rPr>
        <w:t>违约金不足以赔偿甲方损失的，由乙方另行承担。</w:t>
      </w:r>
    </w:p>
    <w:p w14:paraId="144FF823">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同时，甲方有权对乙方的违约行为报监管机构进行相应的处罚。</w:t>
      </w:r>
    </w:p>
    <w:p w14:paraId="43201286">
      <w:pPr>
        <w:tabs>
          <w:tab w:val="left" w:pos="0"/>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（三）乙方逾期</w:t>
      </w:r>
      <w:r>
        <w:rPr>
          <w:rFonts w:hint="eastAsia" w:ascii="仿宋" w:hAnsi="仿宋" w:eastAsia="仿宋" w:cs="仿宋"/>
          <w:color w:val="auto"/>
          <w:sz w:val="24"/>
          <w:szCs w:val="24"/>
          <w:highlight w:val="none"/>
          <w:lang w:val="en-US" w:eastAsia="zh-CN"/>
        </w:rPr>
        <w:t>交付全部货物</w:t>
      </w:r>
      <w:r>
        <w:rPr>
          <w:rFonts w:hint="eastAsia" w:ascii="仿宋" w:hAnsi="仿宋" w:eastAsia="仿宋" w:cs="仿宋"/>
          <w:color w:val="auto"/>
          <w:sz w:val="24"/>
          <w:szCs w:val="24"/>
          <w:highlight w:val="none"/>
        </w:rPr>
        <w:t>的，交货期每超过一天，乙方应按照合同总价款的【1】%向甲方支付违约金；迟延交货超过【7】天的，视为乙方根本违约，甲方有权依据本条第（二）款之约定单方解除本合同</w:t>
      </w:r>
      <w:r>
        <w:rPr>
          <w:rFonts w:hint="eastAsia" w:ascii="仿宋" w:hAnsi="仿宋" w:eastAsia="仿宋" w:cs="仿宋"/>
          <w:color w:val="auto"/>
          <w:sz w:val="24"/>
          <w:szCs w:val="24"/>
          <w:highlight w:val="none"/>
          <w:lang w:eastAsia="zh-Hans"/>
        </w:rPr>
        <w:t>。</w:t>
      </w:r>
    </w:p>
    <w:p w14:paraId="3BEDE420">
      <w:pPr>
        <w:tabs>
          <w:tab w:val="left" w:pos="0"/>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（四）乙方违约时，甲方为主张权利而支出的律师费、保全费、保全保险费、差旅费等费用由乙方承担。</w:t>
      </w:r>
    </w:p>
    <w:p w14:paraId="37CC55EB">
      <w:pPr>
        <w:tabs>
          <w:tab w:val="left" w:pos="0"/>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Hans"/>
        </w:rPr>
        <w:t>（五）</w:t>
      </w:r>
      <w:r>
        <w:rPr>
          <w:rFonts w:hint="eastAsia" w:ascii="仿宋" w:hAnsi="仿宋" w:eastAsia="仿宋" w:cs="仿宋"/>
          <w:color w:val="auto"/>
          <w:sz w:val="24"/>
          <w:szCs w:val="24"/>
          <w:highlight w:val="none"/>
        </w:rPr>
        <w:t>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7E8FDA9E">
      <w:pPr>
        <w:tabs>
          <w:tab w:val="left" w:pos="480"/>
        </w:tabs>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val="en-US" w:eastAsia="zh-CN"/>
        </w:rPr>
        <w:t>二</w:t>
      </w:r>
      <w:r>
        <w:rPr>
          <w:rFonts w:hint="eastAsia" w:ascii="仿宋" w:hAnsi="仿宋" w:eastAsia="仿宋" w:cs="仿宋"/>
          <w:b/>
          <w:bCs/>
          <w:color w:val="auto"/>
          <w:sz w:val="24"/>
          <w:szCs w:val="24"/>
          <w:highlight w:val="none"/>
        </w:rPr>
        <w:t>、合同争议解决的方式</w:t>
      </w:r>
    </w:p>
    <w:p w14:paraId="62F0DD04">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本合同在履行过程中发生的争议，由甲、乙双方当事人协商解决，协商不成的依法向甲方所在地人民法院起诉。</w:t>
      </w:r>
    </w:p>
    <w:p w14:paraId="327874C0">
      <w:pPr>
        <w:tabs>
          <w:tab w:val="left" w:pos="480"/>
        </w:tabs>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rPr>
        <w:t>、合同生效</w:t>
      </w:r>
    </w:p>
    <w:p w14:paraId="46C1C7FA">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拾</w:t>
      </w:r>
      <w:r>
        <w:rPr>
          <w:rFonts w:hint="eastAsia" w:ascii="仿宋" w:hAnsi="仿宋" w:eastAsia="仿宋" w:cs="仿宋"/>
          <w:color w:val="auto"/>
          <w:sz w:val="24"/>
          <w:szCs w:val="24"/>
          <w:highlight w:val="none"/>
        </w:rPr>
        <w:t>份，甲方</w:t>
      </w:r>
      <w:r>
        <w:rPr>
          <w:rFonts w:hint="eastAsia" w:ascii="仿宋" w:hAnsi="仿宋" w:eastAsia="仿宋" w:cs="仿宋"/>
          <w:color w:val="auto"/>
          <w:sz w:val="24"/>
          <w:szCs w:val="24"/>
          <w:highlight w:val="none"/>
          <w:u w:val="single"/>
        </w:rPr>
        <w:t>玖</w:t>
      </w:r>
      <w:r>
        <w:rPr>
          <w:rFonts w:hint="eastAsia" w:ascii="仿宋" w:hAnsi="仿宋" w:eastAsia="仿宋" w:cs="仿宋"/>
          <w:color w:val="auto"/>
          <w:sz w:val="24"/>
          <w:szCs w:val="24"/>
          <w:highlight w:val="none"/>
        </w:rPr>
        <w:t>份，乙方</w:t>
      </w:r>
      <w:r>
        <w:rPr>
          <w:rFonts w:hint="eastAsia" w:ascii="仿宋" w:hAnsi="仿宋" w:eastAsia="仿宋" w:cs="仿宋"/>
          <w:color w:val="auto"/>
          <w:sz w:val="24"/>
          <w:szCs w:val="24"/>
          <w:highlight w:val="none"/>
          <w:u w:val="single"/>
        </w:rPr>
        <w:t>壹</w:t>
      </w:r>
      <w:r>
        <w:rPr>
          <w:rFonts w:hint="eastAsia" w:ascii="仿宋" w:hAnsi="仿宋" w:eastAsia="仿宋" w:cs="仿宋"/>
          <w:color w:val="auto"/>
          <w:sz w:val="24"/>
          <w:szCs w:val="24"/>
          <w:highlight w:val="none"/>
        </w:rPr>
        <w:t>份，本合同经甲方、乙方两方签字盖章后生效，质保期结束后，自动终止（合同的服务承诺除外）。</w:t>
      </w:r>
    </w:p>
    <w:p w14:paraId="5D53CC58">
      <w:pPr>
        <w:tabs>
          <w:tab w:val="left" w:pos="480"/>
        </w:tabs>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val="en-US" w:eastAsia="zh-CN"/>
        </w:rPr>
        <w:t>四</w:t>
      </w:r>
      <w:r>
        <w:rPr>
          <w:rFonts w:hint="eastAsia" w:ascii="仿宋" w:hAnsi="仿宋" w:eastAsia="仿宋" w:cs="仿宋"/>
          <w:b/>
          <w:bCs/>
          <w:color w:val="auto"/>
          <w:sz w:val="24"/>
          <w:szCs w:val="24"/>
          <w:highlight w:val="none"/>
        </w:rPr>
        <w:t>、其他事项</w:t>
      </w:r>
    </w:p>
    <w:p w14:paraId="217B6F14">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（一）西安市财政局政府采购管理处在合同的履行期间以及履行期后，可以随时检查项目的执行情况，对采购内容、标准进行调查核实，并对发现的问题进行处理。</w:t>
      </w:r>
    </w:p>
    <w:p w14:paraId="54F3BD74">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（二）招标文件、投标文件、澄清表（函）、中标通知书、合同附件均成为合同不可分割的部分。</w:t>
      </w:r>
    </w:p>
    <w:p w14:paraId="62099712">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（三）合同未尽事宜，由甲、乙双方协商，签订补充协议，与原合同具有同等法律效力。</w:t>
      </w:r>
    </w:p>
    <w:p w14:paraId="5C747A3E">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（四）合同一经签订，不得擅自变更、中止或终止合同。对确需变更、调整或中止、终止合同的，有法律规定的按照法律规定，除合同约定外，由甲乙双方再行协商，协商一致前，原合同或条款继续履行。</w:t>
      </w:r>
    </w:p>
    <w:p w14:paraId="5A1B41B0">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（五）本合同按照中华人民共和国的现行法律进行解释。</w:t>
      </w:r>
    </w:p>
    <w:p w14:paraId="0C5EA0E1">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（六）本合同附件作为本合同的组成部份，与本合同具有同等法律效力。</w:t>
      </w:r>
    </w:p>
    <w:p w14:paraId="4060FC9C">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（七）供应商规模：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（大型企业/中型企业/小微型企业）</w:t>
      </w:r>
    </w:p>
    <w:p w14:paraId="5CC3BA09">
      <w:pPr>
        <w:tabs>
          <w:tab w:val="left" w:pos="480"/>
        </w:tabs>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（八） 甲方联系人：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w:t>
      </w:r>
    </w:p>
    <w:p w14:paraId="07A169DD">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乙方联系人：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w:t>
      </w:r>
    </w:p>
    <w:p w14:paraId="7C337BD8">
      <w:pPr>
        <w:tabs>
          <w:tab w:val="left" w:pos="480"/>
        </w:tabs>
        <w:rPr>
          <w:rFonts w:hint="eastAsia" w:ascii="仿宋" w:hAnsi="仿宋" w:eastAsia="仿宋" w:cs="仿宋"/>
          <w:color w:val="auto"/>
          <w:sz w:val="24"/>
          <w:szCs w:val="24"/>
          <w:highlight w:val="none"/>
        </w:rPr>
      </w:pPr>
    </w:p>
    <w:p w14:paraId="57AFF2F0">
      <w:pPr>
        <w:tabs>
          <w:tab w:val="left" w:pos="480"/>
        </w:tabs>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（以下无正文）</w:t>
      </w:r>
    </w:p>
    <w:p w14:paraId="2106DDF6">
      <w:pPr>
        <w:tabs>
          <w:tab w:val="left" w:pos="480"/>
        </w:tabs>
        <w:rPr>
          <w:rFonts w:hint="eastAsia" w:ascii="仿宋" w:hAnsi="仿宋" w:eastAsia="仿宋" w:cs="仿宋"/>
          <w:color w:val="auto"/>
          <w:sz w:val="24"/>
          <w:szCs w:val="24"/>
          <w:highlight w:val="none"/>
        </w:rPr>
      </w:pPr>
    </w:p>
    <w:p w14:paraId="3E7CDAC2">
      <w:pPr>
        <w:widowControl/>
        <w:spacing w:line="48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10CDEF7">
      <w:pPr>
        <w:widowControl/>
        <w:spacing w:line="480" w:lineRule="auto"/>
        <w:jc w:val="left"/>
        <w:rPr>
          <w:rFonts w:hint="eastAsia" w:ascii="仿宋" w:hAnsi="仿宋" w:eastAsia="仿宋" w:cs="仿宋"/>
          <w:color w:val="auto"/>
          <w:sz w:val="24"/>
          <w:szCs w:val="24"/>
          <w:highlight w:val="none"/>
        </w:rPr>
      </w:pPr>
    </w:p>
    <w:p w14:paraId="01846E94">
      <w:pPr>
        <w:widowControl/>
        <w:spacing w:line="48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甲方（公章）                        乙方（公章）</w:t>
      </w:r>
    </w:p>
    <w:p w14:paraId="30A3CAD8">
      <w:pPr>
        <w:tabs>
          <w:tab w:val="left" w:pos="480"/>
        </w:tabs>
        <w:spacing w:line="480" w:lineRule="auto"/>
        <w:ind w:left="6240" w:hanging="6240" w:hangingChars="2600"/>
        <w:rPr>
          <w:rFonts w:hint="eastAsia" w:ascii="仿宋" w:hAnsi="仿宋" w:eastAsia="仿宋" w:cs="仿宋"/>
          <w:color w:val="auto"/>
          <w:sz w:val="24"/>
          <w:szCs w:val="24"/>
          <w:highlight w:val="none"/>
        </w:rPr>
      </w:pPr>
    </w:p>
    <w:p w14:paraId="7A7487F7">
      <w:pPr>
        <w:tabs>
          <w:tab w:val="left" w:pos="480"/>
        </w:tabs>
        <w:spacing w:line="480" w:lineRule="auto"/>
        <w:ind w:left="6240" w:hanging="6240" w:hangingChars="2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单位名称：西安市中心医院                单位名称:</w:t>
      </w:r>
    </w:p>
    <w:p w14:paraId="03251D5A">
      <w:pPr>
        <w:spacing w:line="480" w:lineRule="auto"/>
        <w:ind w:left="6000" w:hanging="6000" w:hangingChars="2500"/>
        <w:rPr>
          <w:rFonts w:hint="eastAsia" w:ascii="仿宋" w:hAnsi="仿宋" w:eastAsia="仿宋" w:cs="仿宋"/>
          <w:color w:val="auto"/>
          <w:sz w:val="24"/>
          <w:szCs w:val="24"/>
          <w:highlight w:val="none"/>
        </w:rPr>
      </w:pPr>
    </w:p>
    <w:p w14:paraId="60A00A31">
      <w:pPr>
        <w:spacing w:line="480" w:lineRule="auto"/>
        <w:ind w:left="6000" w:hanging="6000" w:hangingChars="2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地址：西安市西五路161号                地址：</w:t>
      </w:r>
      <w:r>
        <w:rPr>
          <w:rFonts w:hint="eastAsia" w:ascii="仿宋" w:hAnsi="仿宋" w:eastAsia="仿宋" w:cs="仿宋"/>
          <w:bCs/>
          <w:color w:val="auto"/>
          <w:sz w:val="24"/>
          <w:szCs w:val="24"/>
          <w:highlight w:val="none"/>
        </w:rPr>
        <w:t xml:space="preserve"> </w:t>
      </w:r>
    </w:p>
    <w:p w14:paraId="584EA99B">
      <w:pPr>
        <w:tabs>
          <w:tab w:val="left" w:pos="48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67DEBA3F">
      <w:pPr>
        <w:tabs>
          <w:tab w:val="left" w:pos="48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                    法定代表人：（签字）</w:t>
      </w:r>
    </w:p>
    <w:p w14:paraId="796A035B">
      <w:pPr>
        <w:tabs>
          <w:tab w:val="left" w:pos="480"/>
        </w:tabs>
        <w:spacing w:line="480" w:lineRule="auto"/>
        <w:rPr>
          <w:rFonts w:hint="eastAsia" w:ascii="仿宋" w:hAnsi="仿宋" w:eastAsia="仿宋" w:cs="仿宋"/>
          <w:color w:val="auto"/>
          <w:sz w:val="24"/>
          <w:szCs w:val="24"/>
          <w:highlight w:val="none"/>
        </w:rPr>
      </w:pPr>
    </w:p>
    <w:p w14:paraId="6EDF5F5E">
      <w:pPr>
        <w:tabs>
          <w:tab w:val="left" w:pos="48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代理人：（签字）                        代理人：（签字）</w:t>
      </w:r>
    </w:p>
    <w:p w14:paraId="01C91586">
      <w:pPr>
        <w:tabs>
          <w:tab w:val="left" w:pos="480"/>
        </w:tabs>
        <w:spacing w:line="480" w:lineRule="auto"/>
        <w:ind w:firstLine="4800" w:firstLineChars="20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5BBFD438">
      <w:pPr>
        <w:tabs>
          <w:tab w:val="left" w:pos="480"/>
        </w:tabs>
        <w:spacing w:line="480" w:lineRule="auto"/>
        <w:ind w:firstLine="4800" w:firstLineChars="20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帐号：</w:t>
      </w:r>
    </w:p>
    <w:p w14:paraId="0D76B94E">
      <w:pPr>
        <w:tabs>
          <w:tab w:val="left" w:pos="48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   年    月    日             签订日期：   年    月    日</w:t>
      </w:r>
    </w:p>
    <w:p w14:paraId="53917DD0">
      <w:pPr>
        <w:tabs>
          <w:tab w:val="left" w:pos="480"/>
        </w:tabs>
        <w:rPr>
          <w:rFonts w:hint="eastAsia" w:ascii="仿宋" w:hAnsi="仿宋" w:eastAsia="仿宋" w:cs="仿宋"/>
          <w:color w:val="auto"/>
          <w:sz w:val="24"/>
          <w:szCs w:val="24"/>
          <w:highlight w:val="none"/>
        </w:rPr>
      </w:pPr>
    </w:p>
    <w:p w14:paraId="56CDC1F1">
      <w:pPr>
        <w:tabs>
          <w:tab w:val="left" w:pos="480"/>
        </w:tabs>
        <w:rPr>
          <w:rFonts w:hint="eastAsia" w:ascii="仿宋" w:hAnsi="仿宋" w:eastAsia="仿宋" w:cs="仿宋"/>
          <w:color w:val="auto"/>
          <w:sz w:val="24"/>
          <w:szCs w:val="24"/>
          <w:highlight w:val="none"/>
        </w:rPr>
      </w:pPr>
    </w:p>
    <w:p w14:paraId="0B3AD0B8">
      <w:pPr>
        <w:tabs>
          <w:tab w:val="left" w:pos="480"/>
        </w:tabs>
        <w:rPr>
          <w:rFonts w:hint="eastAsia" w:ascii="仿宋" w:hAnsi="仿宋" w:eastAsia="仿宋" w:cs="仿宋"/>
          <w:color w:val="auto"/>
          <w:sz w:val="24"/>
          <w:szCs w:val="24"/>
          <w:highlight w:val="none"/>
        </w:rPr>
      </w:pPr>
    </w:p>
    <w:p w14:paraId="0D4F75C3">
      <w:pPr>
        <w:tabs>
          <w:tab w:val="left" w:pos="480"/>
        </w:tabs>
        <w:rPr>
          <w:rFonts w:hint="eastAsia" w:ascii="仿宋" w:hAnsi="仿宋" w:eastAsia="仿宋" w:cs="仿宋"/>
          <w:color w:val="auto"/>
          <w:sz w:val="24"/>
          <w:szCs w:val="24"/>
          <w:highlight w:val="none"/>
        </w:rPr>
      </w:pPr>
    </w:p>
    <w:p w14:paraId="239A86B9">
      <w:pPr>
        <w:tabs>
          <w:tab w:val="left" w:pos="480"/>
        </w:tabs>
        <w:rPr>
          <w:rFonts w:hint="eastAsia" w:ascii="仿宋" w:hAnsi="仿宋" w:eastAsia="仿宋" w:cs="仿宋"/>
          <w:color w:val="auto"/>
          <w:sz w:val="24"/>
          <w:szCs w:val="24"/>
          <w:highlight w:val="none"/>
        </w:rPr>
      </w:pPr>
    </w:p>
    <w:p w14:paraId="417A11DB">
      <w:pPr>
        <w:tabs>
          <w:tab w:val="left" w:pos="480"/>
        </w:tabs>
        <w:rPr>
          <w:rFonts w:hint="eastAsia" w:ascii="仿宋" w:hAnsi="仿宋" w:eastAsia="仿宋" w:cs="仿宋"/>
          <w:color w:val="auto"/>
          <w:sz w:val="24"/>
          <w:szCs w:val="24"/>
          <w:highlight w:val="none"/>
        </w:rPr>
      </w:pPr>
    </w:p>
    <w:p w14:paraId="2DAA38A3">
      <w:pPr>
        <w:tabs>
          <w:tab w:val="left" w:pos="480"/>
        </w:tabs>
        <w:rPr>
          <w:rFonts w:hint="eastAsia" w:ascii="仿宋" w:hAnsi="仿宋" w:eastAsia="仿宋" w:cs="仿宋"/>
          <w:color w:val="auto"/>
          <w:sz w:val="24"/>
          <w:szCs w:val="24"/>
          <w:highlight w:val="none"/>
        </w:rPr>
      </w:pPr>
    </w:p>
    <w:p w14:paraId="0F39DE48">
      <w:pPr>
        <w:tabs>
          <w:tab w:val="left" w:pos="480"/>
        </w:tabs>
        <w:rPr>
          <w:rFonts w:hint="eastAsia" w:ascii="仿宋" w:hAnsi="仿宋" w:eastAsia="仿宋" w:cs="仿宋"/>
          <w:color w:val="auto"/>
          <w:sz w:val="24"/>
          <w:szCs w:val="24"/>
          <w:highlight w:val="none"/>
        </w:rPr>
      </w:pPr>
    </w:p>
    <w:p w14:paraId="06114D76">
      <w:pPr>
        <w:tabs>
          <w:tab w:val="left" w:pos="480"/>
        </w:tabs>
        <w:rPr>
          <w:rFonts w:hint="eastAsia" w:ascii="仿宋" w:hAnsi="仿宋" w:eastAsia="仿宋" w:cs="仿宋"/>
          <w:color w:val="auto"/>
          <w:sz w:val="24"/>
          <w:szCs w:val="24"/>
          <w:highlight w:val="none"/>
        </w:rPr>
      </w:pPr>
    </w:p>
    <w:p w14:paraId="02D26DD1">
      <w:pPr>
        <w:pStyle w:val="5"/>
        <w:ind w:firstLine="480"/>
        <w:rPr>
          <w:rFonts w:hint="eastAsia" w:ascii="仿宋" w:hAnsi="仿宋" w:eastAsia="仿宋" w:cs="仿宋"/>
          <w:color w:val="auto"/>
          <w:sz w:val="24"/>
          <w:highlight w:val="none"/>
        </w:rPr>
      </w:pPr>
    </w:p>
    <w:p w14:paraId="6C2C213E">
      <w:pPr>
        <w:pStyle w:val="2"/>
        <w:rPr>
          <w:rFonts w:hint="eastAsia" w:ascii="仿宋" w:hAnsi="仿宋" w:eastAsia="仿宋" w:cs="仿宋"/>
          <w:color w:val="auto"/>
          <w:highlight w:val="none"/>
        </w:rPr>
      </w:pPr>
    </w:p>
    <w:p w14:paraId="0B11273B">
      <w:pPr>
        <w:tabs>
          <w:tab w:val="left" w:pos="480"/>
        </w:tabs>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附件一：配置清单</w:t>
      </w:r>
    </w:p>
    <w:p w14:paraId="51A48EBD">
      <w:pPr>
        <w:tabs>
          <w:tab w:val="left" w:pos="480"/>
        </w:tabs>
        <w:rPr>
          <w:rFonts w:hint="eastAsia" w:ascii="仿宋" w:hAnsi="仿宋" w:eastAsia="仿宋" w:cs="仿宋"/>
          <w:color w:val="auto"/>
          <w:sz w:val="24"/>
          <w:szCs w:val="24"/>
          <w:highlight w:val="none"/>
        </w:rPr>
      </w:pPr>
    </w:p>
    <w:p w14:paraId="55564BCF">
      <w:pPr>
        <w:tabs>
          <w:tab w:val="left" w:pos="480"/>
        </w:tabs>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附件二：设备参数</w:t>
      </w:r>
    </w:p>
    <w:p w14:paraId="4D9A2FA9">
      <w:pPr>
        <w:pStyle w:val="4"/>
        <w:rPr>
          <w:rFonts w:hint="eastAsia" w:ascii="仿宋" w:hAnsi="仿宋" w:eastAsia="仿宋" w:cs="仿宋"/>
          <w:color w:val="auto"/>
          <w:sz w:val="24"/>
          <w:szCs w:val="24"/>
          <w:highlight w:val="none"/>
        </w:rPr>
      </w:pPr>
    </w:p>
    <w:p w14:paraId="2C767618">
      <w:pPr>
        <w:rPr>
          <w:rFonts w:hint="eastAsia" w:ascii="仿宋" w:hAnsi="仿宋" w:eastAsia="仿宋" w:cs="仿宋"/>
          <w:b/>
          <w:color w:val="auto"/>
          <w:sz w:val="36"/>
          <w:szCs w:val="36"/>
          <w:highlight w:val="none"/>
        </w:rPr>
      </w:pPr>
      <w:r>
        <w:rPr>
          <w:rFonts w:hint="eastAsia" w:ascii="仿宋" w:hAnsi="仿宋" w:eastAsia="仿宋" w:cs="仿宋"/>
          <w:b/>
          <w:bCs/>
          <w:color w:val="auto"/>
          <w:sz w:val="24"/>
          <w:szCs w:val="24"/>
          <w:highlight w:val="none"/>
        </w:rPr>
        <w:t>备注：</w:t>
      </w:r>
      <w:r>
        <w:rPr>
          <w:rFonts w:hint="eastAsia" w:ascii="仿宋" w:hAnsi="仿宋" w:eastAsia="仿宋" w:cs="仿宋"/>
          <w:b/>
          <w:bCs/>
          <w:color w:val="auto"/>
          <w:sz w:val="24"/>
          <w:szCs w:val="24"/>
          <w:highlight w:val="none"/>
          <w:lang w:val="zh-CN"/>
        </w:rPr>
        <w:t>供货合同与技术参数不一致的以招标文件正本技术参数为准。</w:t>
      </w:r>
    </w:p>
    <w:p w14:paraId="1B961BD9">
      <w:pPr>
        <w:pStyle w:val="8"/>
        <w:rPr>
          <w:rFonts w:hint="eastAsia"/>
          <w:color w:val="auto"/>
          <w:highlight w:val="none"/>
          <w:lang w:val="en-US" w:eastAsia="zh-Hans"/>
        </w:rPr>
      </w:pPr>
    </w:p>
    <w:p w14:paraId="048B8672">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64644F"/>
    <w:multiLevelType w:val="singleLevel"/>
    <w:tmpl w:val="AB64644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301641"/>
    <w:rsid w:val="15DA2023"/>
    <w:rsid w:val="2E103160"/>
    <w:rsid w:val="4F301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next w:val="1"/>
    <w:qFormat/>
    <w:uiPriority w:val="0"/>
    <w:pPr>
      <w:spacing w:after="120"/>
      <w:ind w:left="420" w:leftChars="200"/>
    </w:p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5">
    <w:name w:val="Body Text First Indent 2"/>
    <w:basedOn w:val="3"/>
    <w:next w:val="1"/>
    <w:qFormat/>
    <w:uiPriority w:val="0"/>
    <w:pPr>
      <w:ind w:firstLine="420" w:firstLine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2026-01-04T03:28:00Z</dcterms:created>
  <dc:creator>豆、浆</dc:creator>
  <cp:lastModifiedBy>豆、浆</cp:lastModifiedBy>
  <dcterms:modified xsi:type="dcterms:W3CDTF">2026-01-04T03:28:40Z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A6188C59CFD5488AA04970262EE8D575_11</vt:lpwstr>
  </property>
  <property fmtid="{D5CDD505-2E9C-101B-9397-08002B2CF9AE}" pid="4" name="KSOTemplateDocerSaveRecord">
    <vt:lpwstr>eyJoZGlkIjoiYzAwNjk4NTUwMzAyYzU4YWZkOWU3NmQ3MmI1ZGZlMDMiLCJ1c2VySWQiOiIxMDY3MTk2NDE2In0=</vt:lpwstr>
  </property>
</Properties>
</file>