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版本号：TZZB-2025285C.1B420251229001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网络环境升级改造扩展项目(五次)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TZZB-2025285C.1B4</w:t>
      </w:r>
      <w:r>
        <w:br/>
      </w:r>
      <w:r>
        <w:br/>
      </w:r>
      <w:r>
        <w:br/>
      </w:r>
    </w:p>
    <w:p>
      <w:pPr>
        <w:pStyle w:val="null3"/>
        <w:jc w:val="center"/>
        <w:outlineLvl w:val="2"/>
      </w:pPr>
      <w:r>
        <w:rPr>
          <w:rFonts w:ascii="仿宋_GB2312" w:hAnsi="仿宋_GB2312" w:cs="仿宋_GB2312" w:eastAsia="仿宋_GB2312"/>
          <w:sz w:val="28"/>
          <w:b/>
        </w:rPr>
        <w:t>西安市人民医院（西安市第四医院）</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西安市人民医院（西安市第四医院）</w:t>
      </w:r>
      <w:r>
        <w:rPr>
          <w:rFonts w:ascii="仿宋_GB2312" w:hAnsi="仿宋_GB2312" w:cs="仿宋_GB2312" w:eastAsia="仿宋_GB2312"/>
        </w:rPr>
        <w:t>委托，拟对</w:t>
      </w:r>
      <w:r>
        <w:rPr>
          <w:rFonts w:ascii="仿宋_GB2312" w:hAnsi="仿宋_GB2312" w:cs="仿宋_GB2312" w:eastAsia="仿宋_GB2312"/>
        </w:rPr>
        <w:t>网络环境升级改造扩展项目(五次)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TZZB-2025285C.1B4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网络环境升级改造扩展项目(五次)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计划对航天城院区进行无线覆盖，并对航天城院区无线网络升级改造，包括住院大楼以及区域内手术室、配药间、消毒供应室等点位安装及优化调试。项目融合先进的无线技术特点，以高效、高速、低成本的方式提高医院的工作效率和服务水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为具有独立承担民事责任能力的法人或其他组织。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2、财务状况报告：提供2024年经审计的财务报告或开标前三个月内开户银行开具的资信证明；</w:t>
      </w:r>
    </w:p>
    <w:p>
      <w:pPr>
        <w:pStyle w:val="null3"/>
      </w:pPr>
      <w:r>
        <w:rPr>
          <w:rFonts w:ascii="仿宋_GB2312" w:hAnsi="仿宋_GB2312" w:cs="仿宋_GB2312" w:eastAsia="仿宋_GB2312"/>
        </w:rPr>
        <w:t>3、税收缴纳证明：提供2025年02月至今已缴纳任意一个月完税凭证或税务机关开具的完税证明（任意税种）；依法免税的应提供相关文件证明；</w:t>
      </w:r>
    </w:p>
    <w:p>
      <w:pPr>
        <w:pStyle w:val="null3"/>
      </w:pPr>
      <w:r>
        <w:rPr>
          <w:rFonts w:ascii="仿宋_GB2312" w:hAnsi="仿宋_GB2312" w:cs="仿宋_GB2312" w:eastAsia="仿宋_GB2312"/>
        </w:rPr>
        <w:t>4、社保缴纳证明：提供2025年02月至今已缴存的任意一个月的社会保障资金缴存证明或社保机构开具的社会保险参保缴费情况证明；依法不需要缴纳社会保障资金的应提供相关文件证明；</w:t>
      </w:r>
    </w:p>
    <w:p>
      <w:pPr>
        <w:pStyle w:val="null3"/>
      </w:pPr>
      <w:r>
        <w:rPr>
          <w:rFonts w:ascii="仿宋_GB2312" w:hAnsi="仿宋_GB2312" w:cs="仿宋_GB2312" w:eastAsia="仿宋_GB2312"/>
        </w:rPr>
        <w:t>5、书面声明：参加政府采购活动前三年内，在经营活动中没有重大违法记录的书面声明；</w:t>
      </w:r>
    </w:p>
    <w:p>
      <w:pPr>
        <w:pStyle w:val="null3"/>
      </w:pPr>
      <w:r>
        <w:rPr>
          <w:rFonts w:ascii="仿宋_GB2312" w:hAnsi="仿宋_GB2312" w:cs="仿宋_GB2312" w:eastAsia="仿宋_GB2312"/>
        </w:rPr>
        <w:t>6、信用记录：供应商不得为“信用中国”网站（www.creditchina.gov.cn）（中国执行信息公开网）和中国政府采购网（www.ccgp.gov.cn）中被列入失信被执行人、重大税收违法失信主体、政府采购严重违法失信行为记录名单的单位（此项由代理机构在现场查询，以现场查询结果为准）；</w:t>
      </w:r>
    </w:p>
    <w:p>
      <w:pPr>
        <w:pStyle w:val="null3"/>
      </w:pPr>
      <w:r>
        <w:rPr>
          <w:rFonts w:ascii="仿宋_GB2312" w:hAnsi="仿宋_GB2312" w:cs="仿宋_GB2312" w:eastAsia="仿宋_GB2312"/>
        </w:rPr>
        <w:t>7、法定代表人授权委托书：法定代表人参加磋商时，提供本人身份证；授权代表参加磋商时，提供法定代表人授权书和被授权人身份证；非法人单位参照执行；</w:t>
      </w:r>
    </w:p>
    <w:p>
      <w:pPr>
        <w:pStyle w:val="null3"/>
      </w:pPr>
      <w:r>
        <w:rPr>
          <w:rFonts w:ascii="仿宋_GB2312" w:hAnsi="仿宋_GB2312" w:cs="仿宋_GB2312" w:eastAsia="仿宋_GB2312"/>
        </w:rPr>
        <w:t>8、非联合体：本项目不接受联合体磋商。</w:t>
      </w:r>
    </w:p>
    <w:p>
      <w:pPr>
        <w:pStyle w:val="null3"/>
      </w:pPr>
      <w:r>
        <w:rPr>
          <w:rFonts w:ascii="仿宋_GB2312" w:hAnsi="仿宋_GB2312" w:cs="仿宋_GB2312" w:eastAsia="仿宋_GB2312"/>
        </w:rPr>
        <w:t>9、其他：不专门面向中小企业采购。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西安市人民医院（西安市第四医院）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西安市长安区航天新城航天东路155号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仝老师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029-61199741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陕西省西安市经济技术开发区凤城八路180号长和国际F座22层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赵淑涵、倪莹、王燕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029-86522030转612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代理服务费收费标准：招标代理服务费以中标 （成交）供应商的中标（成交）金额为基数，参照国家计委关于《招标代理服务收费管理暂行办法》（计价格[2002]1980号）、《国家发展改革委办公厅关于招标代理服务收费有关问题的通知》（发改价格[2003]857号）、《国家发展改革委关于进一步放开建设项目专业服务价格的通知》下浮20%收取。 代理服务费缴纳账号： 账户名称：同正项目管理有限公司 开户银行：中国建设银行股份有限公司西安长庆支行 账 号：61050190550000001106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踏勘时间：2026-01-07 14:30:00</w:t>
            </w:r>
          </w:p>
          <w:p>
            <w:pPr>
              <w:pStyle w:val="null3"/>
              <w:ind w:firstLine="975"/>
            </w:pPr>
            <w:r>
              <w:rPr>
                <w:rFonts w:ascii="仿宋_GB2312" w:hAnsi="仿宋_GB2312" w:cs="仿宋_GB2312" w:eastAsia="仿宋_GB2312"/>
              </w:rPr>
              <w:t>踏勘地点：航天城院区门诊楼前</w:t>
            </w:r>
          </w:p>
          <w:p>
            <w:pPr>
              <w:pStyle w:val="null3"/>
              <w:ind w:firstLine="975"/>
            </w:pPr>
            <w:r>
              <w:rPr>
                <w:rFonts w:ascii="仿宋_GB2312" w:hAnsi="仿宋_GB2312" w:cs="仿宋_GB2312" w:eastAsia="仿宋_GB2312"/>
              </w:rPr>
              <w:t>联系人：赵淑涵</w:t>
            </w:r>
          </w:p>
          <w:p>
            <w:pPr>
              <w:pStyle w:val="null3"/>
              <w:ind w:firstLine="975"/>
            </w:pPr>
            <w:r>
              <w:rPr>
                <w:rFonts w:ascii="仿宋_GB2312" w:hAnsi="仿宋_GB2312" w:cs="仿宋_GB2312" w:eastAsia="仿宋_GB2312"/>
              </w:rPr>
              <w:t>联系电话号码：18791785538</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西安市人民医院（西安市第四医院）</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西安市人民医院（西安市第四医院）</w:t>
      </w:r>
      <w:r>
        <w:rPr>
          <w:rFonts w:ascii="仿宋_GB2312" w:hAnsi="仿宋_GB2312" w:cs="仿宋_GB2312" w:eastAsia="仿宋_GB2312"/>
        </w:rPr>
        <w:t>负责解释。除上述磋商文件内容，其他内容由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联系人：赵淑涵、倪莹、王燕</w:t>
      </w:r>
    </w:p>
    <w:p>
      <w:pPr>
        <w:pStyle w:val="null3"/>
      </w:pPr>
      <w:r>
        <w:rPr>
          <w:rFonts w:ascii="仿宋_GB2312" w:hAnsi="仿宋_GB2312" w:cs="仿宋_GB2312" w:eastAsia="仿宋_GB2312"/>
        </w:rPr>
        <w:t>联系电话：029-86522030转612</w:t>
      </w:r>
    </w:p>
    <w:p>
      <w:pPr>
        <w:pStyle w:val="null3"/>
      </w:pPr>
      <w:r>
        <w:rPr>
          <w:rFonts w:ascii="仿宋_GB2312" w:hAnsi="仿宋_GB2312" w:cs="仿宋_GB2312" w:eastAsia="仿宋_GB2312"/>
        </w:rPr>
        <w:t>地址：陕西省西安市经济技术开发区凤城八路180号长和国际F座22层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项目计划对航天城院区进行无线覆盖，并对航天城院区无线网络升级改造，包括住院大楼以及区域内手术室、配药间、消毒供应室等点位安装及优化调试。项目融合先进的无线技术特点，以高效、高速、低成本的方式提高医院的工作效率和服务水平。</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315,000.00</w:t>
      </w:r>
    </w:p>
    <w:p>
      <w:pPr>
        <w:pStyle w:val="null3"/>
      </w:pPr>
      <w:r>
        <w:rPr>
          <w:rFonts w:ascii="仿宋_GB2312" w:hAnsi="仿宋_GB2312" w:cs="仿宋_GB2312" w:eastAsia="仿宋_GB2312"/>
        </w:rPr>
        <w:t>采购包最高限价（元）: 315,000.00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网络环境升级改造扩展项目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标的名称：网络环境升级改造扩展项目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一、24口POE交换机（核心产品）</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技术参数：</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★交换容量≥600Gbps，包转发率≥170Mpps。10/100/1000BASE-T（POE+）电口≥24个, 1/10GE SFP +端口≥4个。</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POE/POE+供电，POE输出功率≥370W。</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基于端口的VLAN，基于协议的VLAN；基于MAC的VLAN；</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提供静态路由、RIP/RIPng、OSPFv2/OSPFv3等路由协议。</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二、室内面板AP</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技术参数：</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★采用双频4流设计，Wi-Fi7，可工作在802.11a/b/g/n/ac/ax/be模式；接入速率≥3.57Gbps；2.5G电口≥1个，1G电口≥4个。</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支持基于终端数或流量的智能负载均衡。</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rPr>
              <w:t>支持SSID隐藏，每个SSID可配置单独的认证方式、加密机制，VLAN属性。</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rPr>
              <w:t>支持非法AP检测及反制，支持数据帧过滤功能，支持白名单、静态黑名单、动态黑名单。</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三、室内放装AP</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rPr>
              <w:t>技术参数：</w:t>
            </w:r>
          </w:p>
        </w:tc>
      </w:tr>
      <w:tr>
        <w:tc>
          <w:tcPr>
            <w:tcW w:type="dxa" w:w="2769"/>
          </w:tcPr>
          <w:p>
            <w:pPr>
              <w:pStyle w:val="null3"/>
            </w:pPr>
            <w:r>
              <w:rPr>
                <w:rFonts w:ascii="仿宋_GB2312" w:hAnsi="仿宋_GB2312" w:cs="仿宋_GB2312" w:eastAsia="仿宋_GB2312"/>
              </w:rPr>
              <w:t>15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★采用三频12流设计，Wi-Fi7，可工作在802.11a/b/g/n/ac/ax/be模式；接入速率≥11Gbps；2.5G/10G电口≥1个，2.5G/10G SFP光口≥1个，10/100/1000M电口≥1个。</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rPr>
              <w:t>支持基于终端数或流量的智能负载均衡。</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rPr>
              <w:t>支持SSID隐藏，每个SSID可配置单独的认证方式、加密机制，VLAN属性。</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rPr>
              <w:t>支持非法AP检测及反制。支持数据帧过滤功能，支持白名单、静态黑名单、动态黑名单。</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rPr>
              <w:t>四、线材要求：六类非屏蔽网线</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rPr>
              <w:t>五、施工要求</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rPr>
              <w:t>本次项目需包含硬件设备安装及施工布线，乙方应根据现场实测进行综合报价，包含线材、管材、面板、底盒、模块等项目所需所有耗材配件。包工包料，合同总金额一次性包死，不受市场价格变化等因素的影响，达到“交钥匙”项目目的。</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rPr>
              <w:t>工完场清，所有拆除部分的修补按照原样式、原材料进行。</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pPr>
            <w:r>
              <w:rPr>
                <w:rFonts w:ascii="仿宋_GB2312" w:hAnsi="仿宋_GB2312" w:cs="仿宋_GB2312" w:eastAsia="仿宋_GB2312"/>
              </w:rPr>
              <w:t>严格按照甲方的指令要求进行施工，做好施工前、施工过程和施工后的照片记录</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pPr>
            <w:r>
              <w:rPr>
                <w:rFonts w:ascii="仿宋_GB2312" w:hAnsi="仿宋_GB2312" w:cs="仿宋_GB2312" w:eastAsia="仿宋_GB2312"/>
              </w:rPr>
              <w:t>中标方应为现场施工人员需自行购买保险，相关用工风险、法律责任等由中标单位自行承担，施工过程要做好工程范围的安全防护措施，发生一切安全事故均由施工单位负责，院方不承担任何责任。</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pPr>
            <w:r>
              <w:rPr>
                <w:rFonts w:ascii="仿宋_GB2312" w:hAnsi="仿宋_GB2312" w:cs="仿宋_GB2312" w:eastAsia="仿宋_GB2312"/>
              </w:rPr>
              <w:t>六.履约能力要求</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pPr>
            <w:r>
              <w:rPr>
                <w:rFonts w:ascii="仿宋_GB2312" w:hAnsi="仿宋_GB2312" w:cs="仿宋_GB2312" w:eastAsia="仿宋_GB2312"/>
              </w:rPr>
              <w:t>乙方进场施工期间应严格遵守《建筑安装工人安全操作规程》《中华人民共和国消防法》和其他相关的法规、规范，组织施工。</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pPr>
            <w:r>
              <w:rPr>
                <w:rFonts w:ascii="仿宋_GB2312" w:hAnsi="仿宋_GB2312" w:cs="仿宋_GB2312" w:eastAsia="仿宋_GB2312"/>
              </w:rPr>
              <w:t>乙方必须设置施工现场安全管理人员及专职安全员，杜绝违规施工，其中乙方施工人员(电工、水工、电气焊工等)必须持证上岗。</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pPr>
            <w:r>
              <w:rPr>
                <w:rFonts w:ascii="仿宋_GB2312" w:hAnsi="仿宋_GB2312" w:cs="仿宋_GB2312" w:eastAsia="仿宋_GB2312"/>
              </w:rPr>
              <w:t>乙方必须对施工地域环境卫生、人员安全、生产安全、防火安全负全责。灭火器具是进入施工现场的必备条件(自备)。施工现场的各种活动须服从甲方相关部门的管理、监督，同时做好与其它施工人员的交叉作业及配合工作。</w:t>
            </w: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pPr>
            <w:r>
              <w:rPr>
                <w:rFonts w:ascii="仿宋_GB2312" w:hAnsi="仿宋_GB2312" w:cs="仿宋_GB2312" w:eastAsia="仿宋_GB2312"/>
              </w:rPr>
              <w:t>乙方必须加强对施工现场的安全监督、管理，对进入现场的易燃材料生产工具应指定专人管理，必要时派人驻守。对当日产生的易燃废料需当日清理出施工现场，堆放到甲方指定区域，当日应及时清理出院，消除安全隐患。</w:t>
            </w: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pPr>
            <w:r>
              <w:rPr>
                <w:rFonts w:ascii="仿宋_GB2312" w:hAnsi="仿宋_GB2312" w:cs="仿宋_GB2312" w:eastAsia="仿宋_GB2312"/>
              </w:rPr>
              <w:t>乙方负责办理解决相关工程开工前后的各项必备手续，承担相应的费用支出。</w:t>
            </w:r>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p>
            <w:pPr>
              <w:pStyle w:val="null3"/>
            </w:pPr>
            <w:r>
              <w:rPr>
                <w:rFonts w:ascii="仿宋_GB2312" w:hAnsi="仿宋_GB2312" w:cs="仿宋_GB2312" w:eastAsia="仿宋_GB2312"/>
              </w:rPr>
              <w:t>乙方施工人员要严防火灾，不准在禁止烟火的地方动用明火;要文明施工，不得在施工现场戏耍和打架斗殴;施工现场禁止吸烟;要注意用电安全，电器开关要设箱加锁，不准乱拉乱接电线;要严防破坏，同时按甲方要求做好施工现场的安全围挡，围挡要和甲方大环境匹配，美观大方、标识清晰、安全警示标语明显，防护措施到位。</w:t>
            </w:r>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p>
            <w:pPr>
              <w:pStyle w:val="null3"/>
            </w:pPr>
            <w:r>
              <w:rPr>
                <w:rFonts w:ascii="仿宋_GB2312" w:hAnsi="仿宋_GB2312" w:cs="仿宋_GB2312" w:eastAsia="仿宋_GB2312"/>
              </w:rPr>
              <w:t>违反以上约定者，甲方现场管理人员有权制止其行为并劝其离场，乙方应停工整顿且工期不顺延(停工期间造成的损失由乙方自行承担)。如乙方人员违反以上约定3次，甲方有权单方解除合同，合同自书面解除通知送达乙方之日解除，乙方除应赔偿由此给甲方造成的全部损失外，还应按照合同总价的30%承担违约金。</w:t>
            </w:r>
          </w:p>
        </w:tc>
      </w:tr>
      <w:tr>
        <w:tc>
          <w:tcPr>
            <w:tcW w:type="dxa" w:w="2769"/>
          </w:tcPr>
          <w:p>
            <w:pPr>
              <w:pStyle w:val="null3"/>
            </w:pPr>
            <w:r>
              <w:rPr>
                <w:rFonts w:ascii="仿宋_GB2312" w:hAnsi="仿宋_GB2312" w:cs="仿宋_GB2312" w:eastAsia="仿宋_GB2312"/>
              </w:rPr>
              <w:t>33</w:t>
            </w:r>
          </w:p>
        </w:tc>
        <w:tc>
          <w:tcPr>
            <w:tcW w:type="dxa" w:w="2769"/>
          </w:tcPr>
          <w:p/>
        </w:tc>
        <w:tc>
          <w:tcPr>
            <w:tcW w:type="dxa" w:w="2769"/>
          </w:tcPr>
          <w:p>
            <w:pPr>
              <w:pStyle w:val="null3"/>
            </w:pPr>
            <w:r>
              <w:rPr>
                <w:rFonts w:ascii="仿宋_GB2312" w:hAnsi="仿宋_GB2312" w:cs="仿宋_GB2312" w:eastAsia="仿宋_GB2312"/>
              </w:rPr>
              <w:t>由于乙方在施工过程中施工组织管理不当违反安全规程、消防安全条例发生安全或火灾事故所造成的安全责任事故、经济损失及人身伤亡，乙方承担全部责任，甲方概不负责。在施工中如发生事故造成甲方财产经济损失、人身伤亡，乙方承担全部责任。</w:t>
            </w:r>
          </w:p>
        </w:tc>
      </w:tr>
      <w:tr>
        <w:tc>
          <w:tcPr>
            <w:tcW w:type="dxa" w:w="2769"/>
          </w:tcPr>
          <w:p>
            <w:pPr>
              <w:pStyle w:val="null3"/>
            </w:pPr>
            <w:r>
              <w:rPr>
                <w:rFonts w:ascii="仿宋_GB2312" w:hAnsi="仿宋_GB2312" w:cs="仿宋_GB2312" w:eastAsia="仿宋_GB2312"/>
              </w:rPr>
              <w:t>34</w:t>
            </w:r>
          </w:p>
        </w:tc>
        <w:tc>
          <w:tcPr>
            <w:tcW w:type="dxa" w:w="2769"/>
          </w:tcPr>
          <w:p/>
        </w:tc>
        <w:tc>
          <w:tcPr>
            <w:tcW w:type="dxa" w:w="2769"/>
          </w:tcPr>
          <w:p>
            <w:pPr>
              <w:pStyle w:val="null3"/>
            </w:pPr>
            <w:r>
              <w:rPr>
                <w:rFonts w:ascii="仿宋_GB2312" w:hAnsi="仿宋_GB2312" w:cs="仿宋_GB2312" w:eastAsia="仿宋_GB2312"/>
              </w:rPr>
              <w:t>乙方施工材料、沙土、水泥需在甲方指定地点有序堆放，建筑垃圾应24小时内清理倒运，严禁随意乱堆乱放，影响院内大环境及道路畅通。</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自合同签订之日起120个日历日内完成全部项目实施，每推迟一天扣合同总价款的1%作为违约金。</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合同签订后，所有货物按照甲方指定地点，安装、调试完成，平稳运行一个月后组织验收。验收合格后，自乙方前往甲方办理资金结算之日起，一个月内支付合同总价款的95%(（实际以合同签订为准）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自验收合格之日起三年，经二次验收合格，自乙方前往甲方办理资金结算之日起，一个月内支付合同总价款的5%（实际以合同签订为准）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1.货物到达甲方指定地点后，甲方根据合同要求进行外观验收，确认产地、规格、型号和数量。 2.按照甲方采购文件和乙方响应文件中的要求，安装、调试、检测，平稳运行一个月后，确认项目完成，乙方进行自检，自检合格后，准备验收文件，并书面通知甲方。 3.甲方确认乙方的自检内容后，组织乙方（必要时请有关专家）进行项目验收。验收合格后，填写验收单作为对项目的最终认可。 4.乙方向甲方提交项目实施过程中的所有资料，以便甲方日后管理和维护。 5.验收依据 （1）采购文件、响应文件、澄清表（函）； （2）本合同及附件文本； （3）国家相应的标准、规范； （4）使用说明书（中文）；交付清单、项目图纸、资料 质检报告等； （5）其它资料。</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从验收合格之日起算，整体项目免费提供三年保修。（质保期内乙方免费协助医院设备搬迁、系统调整、优化、故障排查、重装系统等相关工作。） 1.保证技术指标先进、质量性能可靠、进货渠道正常、功能齐全、配置合理，全面满足甲方技术要求。 2.符合国家有关规范要求，确保达到最佳运行状态。 3.乙方提供的产品，若发生侵权而产生的一切后果，由乙方负责，甲方保留索赔权利。 4.保证货物后期可与甲方各类信息化系统双向接口免费对接，即供应商应负责与甲方及甲方信息化网络系统供应商的接口均完成对接，过程中所产生的费用由乙方承担。</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合同执行中发生争议的，当事人双方应协商解决，无法协商或协商达不成一致时，双方均有权向甲方所在地人民法院提请诉讼。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（一）采购标的的功能质量要求 1、功能要求 信号覆盖与强度： 无线网络应能够全面覆盖指定的区域，包括室内和室外空间。 信号强度应达到无线漫游要求，确保用户能够在覆盖范围内稳定地接入网络。 网络容量与性能： 无线网络应具备足够的容量，以满足大量用户同时接入的需求。网络性能应稳定，包括数据传输速率、延迟和抖动等指标应在可接受范围内。 可管理性： 无线网络应具备便捷的管理和维护功能，方便管理员进行日常 运维工作。 应支持远程监控、故障排查和性能优化等功能。 2、质量要求 设备性能： 无线网络设备应具备高性能的处理器、内存和存储等硬件配置。 设备质量： 无线网络设备应具备优质的外壳和内部结构，以确保其耐用性和可靠性。 软件质量： 无线网络设备的软件系统应稳定、可靠且易于升级。 售后服务： 供应商应提供优质的售后服务，包括设备安装、调试、培训和维修等。 （二）详见合同条款。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供应商为具有独立承担民事责任能力的法人或其他组织。企业法人应提供合法有效的标识有统一社会信用代码的营业执照；事业法人应提供事业单位法人证书；其他组织应提供合法登记证明文件；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提供2024年经审计的财务报告或开标前三个月内开户银行开具的资信证明；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提供2025年02月至今已缴纳任意一个月完税凭证或税务机关开具的完税证明（任意税种）；依法免税的应提供相关文件证明；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提供2025年02月至今已缴存的任意一个月的社会保障资金缴存证明或社保机构开具的社会保险参保缴费情况证明；依法不需要缴纳社会保障资金的应提供相关文件证明；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国执行信息公开网）和中国政府采购网（www.ccgp.gov.cn）中被列入失信被执行人、重大税收违法失信主体、政府采购严重违法失信行为记录名单的单位（此项由代理机构在现场查询，以现场查询结果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法定代表人参加磋商时，提供本人身份证；授权代表参加磋商时，提供法定代表人授权书和被授权人身份证；非法人单位参照执行；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不专门面向中小企业采购。</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只能有一个有效报价，不得提交选择性报价，且报价不超过最高限价和分项最高限价</w:t>
            </w:r>
          </w:p>
        </w:tc>
        <w:tc>
          <w:tcPr>
            <w:tcW w:type="dxa" w:w="1661"/>
          </w:tcPr>
          <w:p>
            <w:pPr>
              <w:pStyle w:val="null3"/>
            </w:pPr>
            <w:r>
              <w:rPr>
                <w:rFonts w:ascii="仿宋_GB2312" w:hAnsi="仿宋_GB2312" w:cs="仿宋_GB2312" w:eastAsia="仿宋_GB2312"/>
              </w:rPr>
              <w:t>响应文件封面 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完全理解并接受拒绝政府采购领域商业贿赂承诺书； 参加政府采购活动行为自律承诺书（一）； 参加政府采购活动行为自律承诺书（二）； 供应商须知.docx内容。</w:t>
            </w:r>
          </w:p>
        </w:tc>
        <w:tc>
          <w:tcPr>
            <w:tcW w:type="dxa" w:w="1661"/>
          </w:tcPr>
          <w:p>
            <w:pPr>
              <w:pStyle w:val="null3"/>
            </w:pPr>
            <w:r>
              <w:rPr>
                <w:rFonts w:ascii="仿宋_GB2312" w:hAnsi="仿宋_GB2312" w:cs="仿宋_GB2312" w:eastAsia="仿宋_GB2312"/>
              </w:rPr>
              <w:t>响应文件封面 陕西省政府采购供货商拒绝政府采购领域商业贿赂承诺书.docx 参加政府采购活动行为自律承诺书（一）.docx 参加政府采购活动行为自律承诺书（二）.docx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 （2）要求全面响应采购文件，不能有任何采购人不能接受的附加条件； （3）规定不接受选择方案和选择报价（包括交叉折扣）的，供应商提供了选择方案和/或选择报价（包括交叉折扣）； （4）提供虚假证明，开具虚假资质，出现虚假应答。</w:t>
            </w:r>
          </w:p>
        </w:tc>
        <w:tc>
          <w:tcPr>
            <w:tcW w:type="dxa" w:w="1661"/>
          </w:tcPr>
          <w:p>
            <w:pPr>
              <w:pStyle w:val="null3"/>
            </w:pPr>
            <w:r>
              <w:rPr>
                <w:rFonts w:ascii="仿宋_GB2312" w:hAnsi="仿宋_GB2312" w:cs="仿宋_GB2312" w:eastAsia="仿宋_GB2312"/>
              </w:rPr>
              <w:t>响应文件封面 供应商须知.docx 实施方案.docx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完全响应磋商文件要求的实质性条款、核心参数(见第三章标注★的条款)。</w:t>
            </w:r>
          </w:p>
        </w:tc>
        <w:tc>
          <w:tcPr>
            <w:tcW w:type="dxa" w:w="1661"/>
          </w:tcPr>
          <w:p>
            <w:pPr>
              <w:pStyle w:val="null3"/>
            </w:pPr>
            <w:r>
              <w:rPr>
                <w:rFonts w:ascii="仿宋_GB2312" w:hAnsi="仿宋_GB2312" w:cs="仿宋_GB2312" w:eastAsia="仿宋_GB2312"/>
              </w:rPr>
              <w:t>响应文件封面 产品技术参数表 商务应答表 实施方案.docx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技术参数要求</w:t>
            </w:r>
          </w:p>
        </w:tc>
        <w:tc>
          <w:tcPr>
            <w:tcW w:type="dxa" w:w="2492"/>
          </w:tcPr>
          <w:p>
            <w:pPr>
              <w:pStyle w:val="null3"/>
            </w:pPr>
            <w:r>
              <w:rPr>
                <w:rFonts w:ascii="仿宋_GB2312" w:hAnsi="仿宋_GB2312" w:cs="仿宋_GB2312" w:eastAsia="仿宋_GB2312"/>
              </w:rPr>
              <w:t>投标人根据招标文件第三章采购需求及服务要求的内容进行响应：技术指标和性能完全满足本项目产品技术指标的，得26分；技术参数中标记“★”号项的技术参数有负偏离的，按废标处理，须提供佐证材料予以证明；其他参数为一般参数，每负偏离1项扣1.5分，扣完为止，须提供佐证材料。注：供应商须逐条对应技术参数进行应答，提供充足的佐证材料予以证明（佐证材料包括但不限于技术白皮书、官网截图、设备功能截图、产品彩页、权威第三方检测报告等证明材料），予以证明参数的技术响应并标明佐证材料的具体页码,未提供的不予得分。</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设备选型</w:t>
            </w:r>
          </w:p>
        </w:tc>
        <w:tc>
          <w:tcPr>
            <w:tcW w:type="dxa" w:w="2492"/>
          </w:tcPr>
          <w:p>
            <w:pPr>
              <w:pStyle w:val="null3"/>
            </w:pPr>
            <w:r>
              <w:rPr>
                <w:rFonts w:ascii="仿宋_GB2312" w:hAnsi="仿宋_GB2312" w:cs="仿宋_GB2312" w:eastAsia="仿宋_GB2312"/>
              </w:rPr>
              <w:t>一、评审内容：根据所投产品品牌与配置清单，从设备先进性、配置完整性、性能稳定性、与医院现有系统的兼容性、产品使用广泛性等方面进行综合评定，按照优劣程度在0-9分范围内打分。 二、评审标准：设备选型合理、性能优良、使用广泛得9分，设备选型较合理、性能良好、使用普遍得6分，设备选型一般、性能一般、使用少得3分，未提供得0分。 注：供应商应尽可能多的提供证明材料，包括但不限于所投设备产品优势、市场销售情况等予以证明。</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针对本项目提供具体可行的实施方案，包括但不限于：①详细的项目实施计划；②具有完善供货组织安排、详细的人员、财力调配、运输、配送措施；③具有健全产品安装、检测、调试、试运行及验收方案；④详细的施工计划以及现场安全实施方案；⑤具有完整的现场监督、管理措施、现场人员安排、人员管理措施、现场施工管理。 二、评审标准：1、完整性、针对性：方案必须全面，对评审内容中的各项要求有详细阐述，紧扣项目实际情况，内容科学合理。 2、可实施性：切合本项目实际情况，提出步骤清晰合理的方案。 每满足一个评审标准得1分，基本满足一个评审标准得0.5分，对该评审标准的响应内容模糊或存在缺陷得0.2分，未提供或完全无法满足该评审标准得0分。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一、评审内容：投标人针对本项目提供保障措施，包括但不限于：①产品质量保障措施；②现场安装保障措施；③安全保证措施完善（包括供货、施工安全保障措施）；④现场环境保护措施。 二、评审标准：1、完整性、针对性：方案必须全面，对评审内容中的各项要求有详细阐述，紧扣项目实际情况，内容科学合理； 2、可实施性：切合本项目实际情况，提出步骤清晰合理的方案。 每满足一个评审标准得1分，基本满足一个评审标准得0.5分，对该评审标准的响应内容模糊或存在缺陷得0.2分，未提供或完全无法满足该评审标准得0分。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一、评审内容：根据本项目特点制定应急方案，方案应包括但不限于：①设备故障响应时限维修服务到场响应时限；②备品备件不足的紧急措施；③应急突发状况处置措施； 二、评审标准：1、完整性、针对性：方案必须全面，对评审内容中的各项要求有详细阐述，紧扣项目实际情况，内容科学合理； 2、可实施性：切合本项目实际情况，提出步骤清晰合理的方案。 每满足一个评审标准得1分，基本满足一个评审标准得0.5分，对该评审标准的响应内容模糊或存在缺陷得0.2分，未提供或完全无法满足该评审标准得0分。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针对本项目提供具体可行的售后服务方案及承诺包括但不限于：①针对本项目的售后服务方案及承诺；②具有建全的售后服务机构、配备专职专业维修人员；③承诺维修服务具体时限与应急措施；④后期运行维护、升级更新服务方案与保障措施； 二、评审标准：1、完整性、针对性：方案必须全面，对评审内容中的各项要求有详细阐述，紧扣项目实际情况，内容科学合理；2、可实施性：切合本项目实际情况，提出步骤清晰合理的方案。 每满足一个评审标准得1分，基本满足一个评审标准得0.5分，对该评审标准的响应内容模糊或存在缺陷得0.2分，未提供或完全无法满足该评审标准得0分。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提供投标人2022年8月1日至今以合同签订时间为准的类似项目业绩证明文件，需提供完整合同复印件加盖公章，每提供一份得1分，满分3分。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满足招标文件要求且评审报价最低的报价为评标基准价，其价格分为满分。其他投标人的价格分统一按照下列公式计算： 投标报价得分=（评标基准价/投标报价）×30。 注：对符合《政府采购促进中小企业发展管理办法》（财库〔2020〕46 号）规定的小微企业报价给予10%的扣除，用扣除后的价格参加评审。监狱企业与残疾人福利性单位视同小型、微型企业，享受同等价格扣 除，当企业属性重复时，不重复价格扣除。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详见附件：陕西省政府采购供货商拒绝政府采购领域商业贿赂承诺书.docx</w:t>
      </w:r>
    </w:p>
    <w:p>
      <w:pPr>
        <w:pStyle w:val="null3"/>
        <w:ind w:firstLine="960"/>
      </w:pPr>
      <w:r>
        <w:rPr>
          <w:rFonts w:ascii="仿宋_GB2312" w:hAnsi="仿宋_GB2312" w:cs="仿宋_GB2312" w:eastAsia="仿宋_GB2312"/>
        </w:rPr>
        <w:t>详见附件：参加政府采购活动行为自律承诺书（一）.docx</w:t>
      </w:r>
    </w:p>
    <w:p>
      <w:pPr>
        <w:pStyle w:val="null3"/>
        <w:ind w:firstLine="960"/>
      </w:pPr>
      <w:r>
        <w:rPr>
          <w:rFonts w:ascii="仿宋_GB2312" w:hAnsi="仿宋_GB2312" w:cs="仿宋_GB2312" w:eastAsia="仿宋_GB2312"/>
        </w:rPr>
        <w:t>详见附件：参加政府采购活动行为自律承诺书（二）.docx</w:t>
      </w:r>
    </w:p>
    <w:p>
      <w:pPr>
        <w:pStyle w:val="null3"/>
        <w:ind w:firstLine="960"/>
      </w:pPr>
      <w:r>
        <w:rPr>
          <w:rFonts w:ascii="仿宋_GB2312" w:hAnsi="仿宋_GB2312" w:cs="仿宋_GB2312" w:eastAsia="仿宋_GB2312"/>
        </w:rPr>
        <w:t>详见附件：供应商须知.docx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