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76AE5">
      <w:pPr>
        <w:pStyle w:val="6"/>
        <w:jc w:val="center"/>
        <w:outlineLvl w:val="1"/>
        <w:rPr>
          <w:rFonts w:hint="default" w:ascii="仿宋" w:hAnsi="仿宋" w:eastAsia="仿宋" w:cs="仿宋"/>
          <w:b/>
          <w:sz w:val="28"/>
          <w:szCs w:val="16"/>
          <w:lang w:val="en-US" w:eastAsia="zh-CN"/>
        </w:rPr>
      </w:pPr>
      <w:r>
        <w:rPr>
          <w:rFonts w:hint="eastAsia" w:ascii="仿宋" w:hAnsi="仿宋" w:eastAsia="仿宋" w:cs="仿宋"/>
          <w:b/>
          <w:sz w:val="28"/>
          <w:szCs w:val="16"/>
          <w:lang w:eastAsia="zh-CN"/>
        </w:rPr>
        <w:t>供应商须知</w:t>
      </w:r>
      <w:r>
        <w:rPr>
          <w:rFonts w:hint="eastAsia" w:ascii="仿宋" w:hAnsi="仿宋" w:eastAsia="仿宋" w:cs="仿宋"/>
          <w:b/>
          <w:sz w:val="28"/>
          <w:szCs w:val="16"/>
          <w:lang w:val="en-US" w:eastAsia="zh-CN"/>
        </w:rPr>
        <w:t>（一）</w:t>
      </w:r>
    </w:p>
    <w:p w14:paraId="563A4CA6">
      <w:pPr>
        <w:pStyle w:val="6"/>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9"/>
        <w:rPr>
          <w:rFonts w:hint="eastAsia" w:ascii="仿宋" w:hAnsi="仿宋" w:eastAsia="仿宋" w:cs="仿宋"/>
          <w:snapToGrid/>
          <w:color w:val="auto"/>
          <w:kern w:val="0"/>
          <w:sz w:val="20"/>
          <w:szCs w:val="20"/>
          <w:lang w:val="en-US" w:eastAsia="zh-CN" w:bidi="ar-SA"/>
        </w:rPr>
      </w:pPr>
      <w:r>
        <w:rPr>
          <w:rFonts w:hint="eastAsia" w:ascii="仿宋" w:hAnsi="仿宋" w:eastAsia="仿宋" w:cs="仿宋"/>
          <w:snapToGrid/>
          <w:color w:val="auto"/>
          <w:kern w:val="0"/>
          <w:sz w:val="20"/>
          <w:szCs w:val="20"/>
          <w:lang w:val="en-US" w:eastAsia="zh-CN" w:bidi="ar-SA"/>
        </w:rPr>
        <w:t>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14:paraId="089A1EFC">
      <w:pPr>
        <w:pStyle w:val="6"/>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9"/>
        <w:rPr>
          <w:rFonts w:hint="eastAsia" w:ascii="仿宋" w:hAnsi="仿宋" w:eastAsia="仿宋" w:cs="仿宋"/>
          <w:snapToGrid/>
          <w:color w:val="auto"/>
          <w:kern w:val="0"/>
          <w:sz w:val="20"/>
          <w:szCs w:val="20"/>
          <w:lang w:val="en-US" w:eastAsia="zh-CN" w:bidi="ar-SA"/>
        </w:rPr>
      </w:pPr>
      <w:r>
        <w:rPr>
          <w:rFonts w:hint="eastAsia" w:ascii="仿宋" w:hAnsi="仿宋" w:eastAsia="仿宋" w:cs="仿宋"/>
          <w:snapToGrid/>
          <w:color w:val="auto"/>
          <w:kern w:val="0"/>
          <w:sz w:val="20"/>
          <w:szCs w:val="20"/>
          <w:lang w:val="en-US" w:eastAsia="zh-CN" w:bidi="ar-SA"/>
        </w:rPr>
        <w:t>根据西安市财政局《关于促进政府采购公平竞争优化营商环境的通知》（市财函[2021]431号）文中“第16条规定 供应商登记免费领取采购文件的，如不参与项目投标，应在递交投标（或响应）文件截止时间前一日以书面形式告知采购代理机构。否则，采购代理机构可以向财政部门反映情况并提供相应的佐证。供应商一年内累计出现三次该情形，将被监管部门记录失信行为”。</w:t>
      </w:r>
    </w:p>
    <w:p w14:paraId="797FF3F2">
      <w:pPr>
        <w:pStyle w:val="6"/>
        <w:keepNext w:val="0"/>
        <w:keepLines w:val="0"/>
        <w:pageBreakBefore w:val="0"/>
        <w:widowControl/>
        <w:kinsoku/>
        <w:wordWrap/>
        <w:overflowPunct/>
        <w:topLinePunct w:val="0"/>
        <w:autoSpaceDE/>
        <w:autoSpaceDN/>
        <w:bidi w:val="0"/>
        <w:adjustRightInd/>
        <w:snapToGrid/>
        <w:spacing w:line="360" w:lineRule="auto"/>
        <w:ind w:firstLine="400" w:firstLineChars="200"/>
        <w:jc w:val="left"/>
        <w:textAlignment w:val="auto"/>
        <w:outlineLvl w:val="9"/>
        <w:rPr>
          <w:rFonts w:hint="eastAsia" w:ascii="仿宋" w:hAnsi="仿宋" w:eastAsia="仿宋" w:cs="仿宋"/>
          <w:snapToGrid/>
          <w:color w:val="auto"/>
          <w:kern w:val="0"/>
          <w:sz w:val="20"/>
          <w:szCs w:val="20"/>
          <w:lang w:val="en-US" w:eastAsia="zh-CN" w:bidi="ar-SA"/>
        </w:rPr>
      </w:pPr>
    </w:p>
    <w:p w14:paraId="108B4C00">
      <w:pPr>
        <w:rPr>
          <w:rFonts w:ascii="仿宋_GB2312" w:hAnsi="仿宋_GB2312" w:eastAsia="仿宋_GB2312" w:cs="仿宋_GB2312"/>
          <w:b/>
          <w:sz w:val="36"/>
        </w:rPr>
      </w:pPr>
      <w:r>
        <w:rPr>
          <w:rFonts w:ascii="仿宋_GB2312" w:hAnsi="仿宋_GB2312" w:eastAsia="仿宋_GB2312" w:cs="仿宋_GB2312"/>
          <w:b/>
          <w:sz w:val="36"/>
        </w:rPr>
        <w:br w:type="page"/>
      </w:r>
    </w:p>
    <w:p w14:paraId="285445A9">
      <w:pPr>
        <w:pStyle w:val="6"/>
        <w:rPr>
          <w:rFonts w:hint="eastAsia" w:ascii="仿宋" w:hAnsi="仿宋" w:eastAsia="仿宋" w:cs="仿宋"/>
          <w:color w:val="auto"/>
          <w:lang w:eastAsia="zh-CN"/>
        </w:rPr>
      </w:pPr>
      <w:r>
        <w:rPr>
          <w:rFonts w:hint="eastAsia" w:ascii="仿宋" w:hAnsi="仿宋" w:eastAsia="仿宋" w:cs="仿宋"/>
          <w:color w:val="auto"/>
        </w:rPr>
        <w:t>详见附件：</w:t>
      </w:r>
      <w:r>
        <w:rPr>
          <w:rFonts w:hint="eastAsia" w:ascii="仿宋" w:hAnsi="仿宋" w:eastAsia="仿宋" w:cs="仿宋"/>
          <w:color w:val="auto"/>
          <w:lang w:eastAsia="zh-CN"/>
        </w:rPr>
        <w:t>供应商须知（</w:t>
      </w:r>
      <w:r>
        <w:rPr>
          <w:rFonts w:hint="eastAsia" w:ascii="仿宋" w:hAnsi="仿宋" w:eastAsia="仿宋" w:cs="仿宋"/>
          <w:color w:val="auto"/>
          <w:lang w:val="en-US" w:eastAsia="zh-CN"/>
        </w:rPr>
        <w:t>二</w:t>
      </w:r>
      <w:r>
        <w:rPr>
          <w:rFonts w:hint="eastAsia" w:ascii="仿宋" w:hAnsi="仿宋" w:eastAsia="仿宋" w:cs="仿宋"/>
          <w:color w:val="auto"/>
          <w:lang w:eastAsia="zh-CN"/>
        </w:rPr>
        <w:t>）</w:t>
      </w:r>
    </w:p>
    <w:p w14:paraId="2785949D">
      <w:pPr>
        <w:pStyle w:val="6"/>
        <w:jc w:val="center"/>
        <w:outlineLvl w:val="9"/>
        <w:rPr>
          <w:rFonts w:hint="eastAsia" w:ascii="仿宋" w:hAnsi="仿宋" w:eastAsia="仿宋" w:cs="仿宋"/>
          <w:b/>
          <w:sz w:val="36"/>
          <w:lang w:eastAsia="zh-CN"/>
        </w:rPr>
      </w:pPr>
    </w:p>
    <w:p w14:paraId="56828852">
      <w:pPr>
        <w:pStyle w:val="6"/>
        <w:jc w:val="center"/>
        <w:outlineLvl w:val="1"/>
        <w:rPr>
          <w:rFonts w:hint="eastAsia" w:ascii="仿宋" w:hAnsi="仿宋" w:eastAsia="仿宋" w:cs="仿宋"/>
          <w:b/>
          <w:sz w:val="28"/>
          <w:szCs w:val="16"/>
          <w:lang w:eastAsia="zh-CN"/>
        </w:rPr>
      </w:pPr>
      <w:r>
        <w:rPr>
          <w:rFonts w:hint="eastAsia" w:ascii="仿宋" w:hAnsi="仿宋" w:eastAsia="仿宋" w:cs="仿宋"/>
          <w:b/>
          <w:sz w:val="28"/>
          <w:szCs w:val="16"/>
          <w:lang w:eastAsia="zh-CN"/>
        </w:rPr>
        <w:t>供应商须知（</w:t>
      </w:r>
      <w:r>
        <w:rPr>
          <w:rFonts w:hint="eastAsia" w:ascii="仿宋" w:hAnsi="仿宋" w:eastAsia="仿宋" w:cs="仿宋"/>
          <w:b/>
          <w:sz w:val="28"/>
          <w:szCs w:val="16"/>
          <w:lang w:val="en-US" w:eastAsia="zh-CN"/>
        </w:rPr>
        <w:t>二</w:t>
      </w:r>
      <w:r>
        <w:rPr>
          <w:rFonts w:hint="eastAsia" w:ascii="仿宋" w:hAnsi="仿宋" w:eastAsia="仿宋" w:cs="仿宋"/>
          <w:b/>
          <w:sz w:val="28"/>
          <w:szCs w:val="16"/>
          <w:lang w:eastAsia="zh-CN"/>
        </w:rPr>
        <w:t>）</w:t>
      </w:r>
    </w:p>
    <w:p w14:paraId="065E95B0">
      <w:pPr>
        <w:pStyle w:val="6"/>
        <w:keepNext w:val="0"/>
        <w:keepLines w:val="0"/>
        <w:pageBreakBefore w:val="0"/>
        <w:widowControl/>
        <w:kinsoku/>
        <w:wordWrap/>
        <w:overflowPunct/>
        <w:topLinePunct w:val="0"/>
        <w:autoSpaceDE/>
        <w:autoSpaceDN/>
        <w:bidi w:val="0"/>
        <w:adjustRightInd/>
        <w:snapToGrid/>
        <w:spacing w:line="360" w:lineRule="auto"/>
        <w:ind w:firstLine="803" w:firstLineChars="400"/>
        <w:jc w:val="left"/>
        <w:textAlignment w:val="auto"/>
        <w:outlineLvl w:val="9"/>
        <w:rPr>
          <w:rFonts w:hint="eastAsia" w:ascii="仿宋" w:hAnsi="仿宋" w:eastAsia="仿宋" w:cs="仿宋"/>
          <w:b/>
          <w:bCs/>
          <w:snapToGrid/>
          <w:color w:val="auto"/>
          <w:kern w:val="0"/>
          <w:sz w:val="20"/>
          <w:szCs w:val="20"/>
          <w:lang w:val="en-US" w:eastAsia="zh-CN" w:bidi="ar-SA"/>
        </w:rPr>
      </w:pPr>
    </w:p>
    <w:p w14:paraId="0E3231AE">
      <w:pPr>
        <w:pStyle w:val="6"/>
        <w:keepNext w:val="0"/>
        <w:keepLines w:val="0"/>
        <w:pageBreakBefore w:val="0"/>
        <w:widowControl/>
        <w:kinsoku/>
        <w:wordWrap/>
        <w:overflowPunct/>
        <w:topLinePunct w:val="0"/>
        <w:autoSpaceDE/>
        <w:autoSpaceDN/>
        <w:bidi w:val="0"/>
        <w:adjustRightInd/>
        <w:snapToGrid/>
        <w:spacing w:line="360" w:lineRule="auto"/>
        <w:ind w:firstLine="803" w:firstLineChars="400"/>
        <w:jc w:val="left"/>
        <w:textAlignment w:val="auto"/>
        <w:outlineLvl w:val="9"/>
        <w:rPr>
          <w:rFonts w:hint="eastAsia" w:ascii="仿宋" w:hAnsi="仿宋" w:eastAsia="仿宋" w:cs="仿宋"/>
          <w:b/>
          <w:bCs/>
          <w:color w:val="auto"/>
          <w:sz w:val="28"/>
          <w:szCs w:val="16"/>
          <w:lang w:eastAsia="zh-CN"/>
        </w:rPr>
      </w:pPr>
      <w:r>
        <w:rPr>
          <w:rFonts w:hint="eastAsia" w:ascii="仿宋" w:hAnsi="仿宋" w:eastAsia="仿宋" w:cs="仿宋"/>
          <w:b/>
          <w:bCs/>
          <w:snapToGrid/>
          <w:color w:val="auto"/>
          <w:kern w:val="0"/>
          <w:sz w:val="20"/>
          <w:szCs w:val="20"/>
          <w:lang w:val="en-US" w:eastAsia="zh-CN" w:bidi="ar-SA"/>
        </w:rPr>
        <w:t>供应商分项报价不能超过本项目</w:t>
      </w:r>
      <w:r>
        <w:rPr>
          <w:rFonts w:hint="default" w:ascii="仿宋_GB2312" w:hAnsi="仿宋_GB2312" w:eastAsia="仿宋_GB2312" w:cs="仿宋_GB2312"/>
          <w:b/>
          <w:bCs/>
          <w:color w:val="auto"/>
          <w:highlight w:val="none"/>
          <w:vertAlign w:val="baseline"/>
          <w:lang w:val="en-US" w:eastAsia="zh-CN"/>
        </w:rPr>
        <w:t>分项最高限价</w:t>
      </w:r>
      <w:r>
        <w:rPr>
          <w:rFonts w:hint="eastAsia" w:ascii="仿宋_GB2312" w:hAnsi="仿宋_GB2312" w:eastAsia="仿宋_GB2312" w:cs="仿宋_GB2312"/>
          <w:b/>
          <w:bCs/>
          <w:color w:val="auto"/>
          <w:highlight w:val="none"/>
          <w:vertAlign w:val="baseline"/>
          <w:lang w:val="en-US" w:eastAsia="zh-CN"/>
        </w:rPr>
        <w:t>，否则视为无效响应文件。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708"/>
        <w:gridCol w:w="2007"/>
        <w:gridCol w:w="2848"/>
      </w:tblGrid>
      <w:tr w14:paraId="18B49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966" w:type="dxa"/>
            <w:vAlign w:val="center"/>
          </w:tcPr>
          <w:p w14:paraId="009CC14D">
            <w:pPr>
              <w:pStyle w:val="6"/>
              <w:widowControl w:val="0"/>
              <w:jc w:val="center"/>
              <w:rPr>
                <w:rFonts w:hint="default" w:ascii="仿宋_GB2312" w:hAnsi="仿宋_GB2312" w:eastAsia="仿宋_GB2312" w:cs="仿宋_GB2312"/>
                <w:highlight w:val="none"/>
                <w:vertAlign w:val="baseline"/>
                <w:lang w:val="en-US" w:eastAsia="zh-CN"/>
              </w:rPr>
            </w:pPr>
            <w:r>
              <w:rPr>
                <w:rFonts w:hint="default" w:ascii="仿宋_GB2312" w:hAnsi="仿宋_GB2312" w:eastAsia="仿宋_GB2312" w:cs="仿宋_GB2312"/>
                <w:highlight w:val="none"/>
                <w:vertAlign w:val="baseline"/>
                <w:lang w:val="en-US" w:eastAsia="zh-CN"/>
              </w:rPr>
              <w:t>品目</w:t>
            </w:r>
          </w:p>
        </w:tc>
        <w:tc>
          <w:tcPr>
            <w:tcW w:w="2733" w:type="dxa"/>
            <w:vAlign w:val="center"/>
          </w:tcPr>
          <w:p w14:paraId="11D31AAB">
            <w:pPr>
              <w:pStyle w:val="6"/>
              <w:widowControl w:val="0"/>
              <w:jc w:val="center"/>
              <w:rPr>
                <w:rFonts w:hint="default" w:ascii="仿宋_GB2312" w:hAnsi="仿宋_GB2312" w:eastAsia="仿宋_GB2312" w:cs="仿宋_GB2312"/>
                <w:highlight w:val="none"/>
                <w:vertAlign w:val="baseline"/>
                <w:lang w:val="en-US" w:eastAsia="zh-CN"/>
              </w:rPr>
            </w:pPr>
            <w:r>
              <w:rPr>
                <w:rFonts w:hint="default" w:ascii="仿宋_GB2312" w:hAnsi="仿宋_GB2312" w:eastAsia="仿宋_GB2312" w:cs="仿宋_GB2312"/>
                <w:highlight w:val="none"/>
                <w:vertAlign w:val="baseline"/>
                <w:lang w:val="en-US" w:eastAsia="zh-CN"/>
              </w:rPr>
              <w:t>分项名称</w:t>
            </w:r>
          </w:p>
        </w:tc>
        <w:tc>
          <w:tcPr>
            <w:tcW w:w="2025" w:type="dxa"/>
            <w:vAlign w:val="center"/>
          </w:tcPr>
          <w:p w14:paraId="18A852E1">
            <w:pPr>
              <w:pStyle w:val="6"/>
              <w:widowControl w:val="0"/>
              <w:jc w:val="center"/>
              <w:rPr>
                <w:rFonts w:hint="default" w:ascii="仿宋_GB2312" w:hAnsi="仿宋_GB2312" w:eastAsia="仿宋_GB2312" w:cs="仿宋_GB2312"/>
                <w:highlight w:val="none"/>
                <w:vertAlign w:val="baseline"/>
                <w:lang w:val="en-US" w:eastAsia="zh-CN"/>
              </w:rPr>
            </w:pPr>
            <w:r>
              <w:rPr>
                <w:rFonts w:hint="default" w:ascii="仿宋_GB2312" w:hAnsi="仿宋_GB2312" w:eastAsia="仿宋_GB2312" w:cs="仿宋_GB2312"/>
                <w:highlight w:val="none"/>
                <w:vertAlign w:val="baseline"/>
                <w:lang w:val="en-US" w:eastAsia="zh-CN"/>
              </w:rPr>
              <w:t>采购数量</w:t>
            </w:r>
          </w:p>
        </w:tc>
        <w:tc>
          <w:tcPr>
            <w:tcW w:w="2873" w:type="dxa"/>
            <w:vAlign w:val="center"/>
          </w:tcPr>
          <w:p w14:paraId="1CE30A8F">
            <w:pPr>
              <w:pStyle w:val="6"/>
              <w:widowControl w:val="0"/>
              <w:jc w:val="center"/>
              <w:rPr>
                <w:rFonts w:hint="default" w:ascii="仿宋_GB2312" w:hAnsi="仿宋_GB2312" w:eastAsia="仿宋_GB2312" w:cs="仿宋_GB2312"/>
                <w:highlight w:val="none"/>
                <w:vertAlign w:val="baseline"/>
                <w:lang w:val="en-US" w:eastAsia="zh-CN"/>
              </w:rPr>
            </w:pPr>
            <w:r>
              <w:rPr>
                <w:rFonts w:hint="default" w:ascii="仿宋_GB2312" w:hAnsi="仿宋_GB2312" w:eastAsia="仿宋_GB2312" w:cs="仿宋_GB2312"/>
                <w:highlight w:val="none"/>
                <w:vertAlign w:val="baseline"/>
                <w:lang w:val="en-US" w:eastAsia="zh-CN"/>
              </w:rPr>
              <w:t>分项最高限价(万元)</w:t>
            </w:r>
          </w:p>
        </w:tc>
      </w:tr>
      <w:tr w14:paraId="7988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966" w:type="dxa"/>
            <w:vAlign w:val="center"/>
          </w:tcPr>
          <w:p w14:paraId="37415D08">
            <w:pPr>
              <w:pStyle w:val="6"/>
              <w:widowControl w:val="0"/>
              <w:jc w:val="center"/>
              <w:rPr>
                <w:rFonts w:hint="default"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1</w:t>
            </w:r>
          </w:p>
        </w:tc>
        <w:tc>
          <w:tcPr>
            <w:tcW w:w="2733" w:type="dxa"/>
            <w:vAlign w:val="center"/>
          </w:tcPr>
          <w:p w14:paraId="4B9E1F49">
            <w:pPr>
              <w:pStyle w:val="6"/>
              <w:widowControl w:val="0"/>
              <w:jc w:val="center"/>
              <w:rPr>
                <w:rFonts w:hint="default" w:ascii="仿宋_GB2312" w:hAnsi="仿宋_GB2312" w:eastAsia="仿宋_GB2312" w:cs="仿宋_GB2312"/>
                <w:vertAlign w:val="baseline"/>
                <w:lang w:val="en-US" w:eastAsia="zh-CN"/>
              </w:rPr>
            </w:pPr>
            <w:r>
              <w:rPr>
                <w:rFonts w:hint="default" w:ascii="仿宋_GB2312" w:hAnsi="仿宋_GB2312" w:eastAsia="仿宋_GB2312" w:cs="仿宋_GB2312"/>
                <w:vertAlign w:val="baseline"/>
                <w:lang w:val="en-US" w:eastAsia="zh-CN"/>
              </w:rPr>
              <w:t>24口POE 交换机(含模块)</w:t>
            </w:r>
          </w:p>
        </w:tc>
        <w:tc>
          <w:tcPr>
            <w:tcW w:w="2025" w:type="dxa"/>
            <w:vAlign w:val="center"/>
          </w:tcPr>
          <w:p w14:paraId="270AC4B2">
            <w:pPr>
              <w:pStyle w:val="6"/>
              <w:widowControl w:val="0"/>
              <w:jc w:val="center"/>
              <w:rPr>
                <w:rFonts w:hint="default"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10</w:t>
            </w:r>
          </w:p>
        </w:tc>
        <w:tc>
          <w:tcPr>
            <w:tcW w:w="2873" w:type="dxa"/>
            <w:vAlign w:val="center"/>
          </w:tcPr>
          <w:p w14:paraId="3CD00453">
            <w:pPr>
              <w:pStyle w:val="6"/>
              <w:widowControl w:val="0"/>
              <w:jc w:val="center"/>
              <w:rPr>
                <w:rFonts w:hint="default" w:ascii="仿宋_GB2312" w:hAnsi="仿宋_GB2312" w:eastAsia="仿宋_GB2312" w:cs="仿宋_GB2312"/>
                <w:vertAlign w:val="baseline"/>
                <w:lang w:val="en-US" w:eastAsia="zh-CN"/>
              </w:rPr>
            </w:pPr>
            <w:r>
              <w:rPr>
                <w:rFonts w:hint="default" w:ascii="仿宋_GB2312" w:hAnsi="仿宋_GB2312" w:eastAsia="仿宋_GB2312" w:cs="仿宋_GB2312"/>
                <w:vertAlign w:val="baseline"/>
                <w:lang w:val="en-US" w:eastAsia="zh-CN"/>
              </w:rPr>
              <w:t>0.55 万元/台</w:t>
            </w:r>
          </w:p>
        </w:tc>
      </w:tr>
      <w:tr w14:paraId="61B49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966" w:type="dxa"/>
            <w:vAlign w:val="center"/>
          </w:tcPr>
          <w:p w14:paraId="6A41424E">
            <w:pPr>
              <w:pStyle w:val="6"/>
              <w:widowControl w:val="0"/>
              <w:jc w:val="center"/>
              <w:rPr>
                <w:rFonts w:hint="default"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2</w:t>
            </w:r>
          </w:p>
        </w:tc>
        <w:tc>
          <w:tcPr>
            <w:tcW w:w="2733" w:type="dxa"/>
            <w:vAlign w:val="center"/>
          </w:tcPr>
          <w:p w14:paraId="48B68464">
            <w:pPr>
              <w:pStyle w:val="6"/>
              <w:widowControl w:val="0"/>
              <w:jc w:val="center"/>
              <w:rPr>
                <w:rFonts w:hint="default" w:ascii="仿宋_GB2312" w:hAnsi="仿宋_GB2312" w:eastAsia="仿宋_GB2312" w:cs="仿宋_GB2312"/>
                <w:vertAlign w:val="baseline"/>
                <w:lang w:val="en-US" w:eastAsia="zh-CN"/>
              </w:rPr>
            </w:pPr>
            <w:r>
              <w:rPr>
                <w:rFonts w:hint="default" w:ascii="仿宋_GB2312" w:hAnsi="仿宋_GB2312" w:eastAsia="仿宋_GB2312" w:cs="仿宋_GB2312"/>
                <w:vertAlign w:val="baseline"/>
                <w:lang w:val="en-US" w:eastAsia="zh-CN"/>
              </w:rPr>
              <w:t>室内面板 AP</w:t>
            </w:r>
          </w:p>
        </w:tc>
        <w:tc>
          <w:tcPr>
            <w:tcW w:w="2025" w:type="dxa"/>
            <w:vAlign w:val="center"/>
          </w:tcPr>
          <w:p w14:paraId="1D4709EA">
            <w:pPr>
              <w:pStyle w:val="6"/>
              <w:widowControl w:val="0"/>
              <w:jc w:val="center"/>
              <w:rPr>
                <w:rFonts w:hint="default"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40</w:t>
            </w:r>
          </w:p>
        </w:tc>
        <w:tc>
          <w:tcPr>
            <w:tcW w:w="2873" w:type="dxa"/>
            <w:vAlign w:val="center"/>
          </w:tcPr>
          <w:p w14:paraId="066B76AC">
            <w:pPr>
              <w:pStyle w:val="6"/>
              <w:widowControl w:val="0"/>
              <w:jc w:val="center"/>
              <w:rPr>
                <w:rFonts w:hint="default" w:ascii="仿宋_GB2312" w:hAnsi="仿宋_GB2312" w:eastAsia="仿宋_GB2312" w:cs="仿宋_GB2312"/>
                <w:vertAlign w:val="baseline"/>
                <w:lang w:val="en-US" w:eastAsia="zh-CN"/>
              </w:rPr>
            </w:pPr>
            <w:r>
              <w:rPr>
                <w:rFonts w:hint="default" w:ascii="仿宋_GB2312" w:hAnsi="仿宋_GB2312" w:eastAsia="仿宋_GB2312" w:cs="仿宋_GB2312"/>
                <w:vertAlign w:val="baseline"/>
                <w:lang w:val="en-US" w:eastAsia="zh-CN"/>
              </w:rPr>
              <w:t>0.165 万元/台</w:t>
            </w:r>
          </w:p>
        </w:tc>
      </w:tr>
      <w:tr w14:paraId="7F81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966" w:type="dxa"/>
            <w:vAlign w:val="center"/>
          </w:tcPr>
          <w:p w14:paraId="02D5222C">
            <w:pPr>
              <w:pStyle w:val="6"/>
              <w:widowControl w:val="0"/>
              <w:jc w:val="center"/>
              <w:rPr>
                <w:rFonts w:hint="default"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3</w:t>
            </w:r>
          </w:p>
        </w:tc>
        <w:tc>
          <w:tcPr>
            <w:tcW w:w="2733" w:type="dxa"/>
            <w:vAlign w:val="center"/>
          </w:tcPr>
          <w:p w14:paraId="16F19C59">
            <w:pPr>
              <w:pStyle w:val="6"/>
              <w:widowControl w:val="0"/>
              <w:jc w:val="center"/>
              <w:rPr>
                <w:rFonts w:hint="default" w:ascii="仿宋_GB2312" w:hAnsi="仿宋_GB2312" w:eastAsia="仿宋_GB2312" w:cs="仿宋_GB2312"/>
                <w:vertAlign w:val="baseline"/>
                <w:lang w:val="en-US" w:eastAsia="zh-CN"/>
              </w:rPr>
            </w:pPr>
            <w:r>
              <w:rPr>
                <w:rFonts w:hint="default" w:ascii="仿宋_GB2312" w:hAnsi="仿宋_GB2312" w:eastAsia="仿宋_GB2312" w:cs="仿宋_GB2312"/>
                <w:vertAlign w:val="baseline"/>
                <w:lang w:val="en-US" w:eastAsia="zh-CN"/>
              </w:rPr>
              <w:t>室内放装 AP</w:t>
            </w:r>
          </w:p>
        </w:tc>
        <w:tc>
          <w:tcPr>
            <w:tcW w:w="2025" w:type="dxa"/>
            <w:vAlign w:val="center"/>
          </w:tcPr>
          <w:p w14:paraId="145CA3C9">
            <w:pPr>
              <w:pStyle w:val="6"/>
              <w:widowControl w:val="0"/>
              <w:jc w:val="center"/>
              <w:rPr>
                <w:rFonts w:hint="default"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60</w:t>
            </w:r>
          </w:p>
        </w:tc>
        <w:tc>
          <w:tcPr>
            <w:tcW w:w="2873" w:type="dxa"/>
            <w:vAlign w:val="center"/>
          </w:tcPr>
          <w:p w14:paraId="177D8A02">
            <w:pPr>
              <w:pStyle w:val="6"/>
              <w:widowControl w:val="0"/>
              <w:jc w:val="center"/>
              <w:rPr>
                <w:rFonts w:hint="default" w:ascii="仿宋_GB2312" w:hAnsi="仿宋_GB2312" w:eastAsia="仿宋_GB2312" w:cs="仿宋_GB2312"/>
                <w:vertAlign w:val="baseline"/>
                <w:lang w:val="en-US" w:eastAsia="zh-CN"/>
              </w:rPr>
            </w:pPr>
            <w:r>
              <w:rPr>
                <w:rFonts w:hint="default" w:ascii="仿宋_GB2312" w:hAnsi="仿宋_GB2312" w:eastAsia="仿宋_GB2312" w:cs="仿宋_GB2312"/>
                <w:vertAlign w:val="baseline"/>
                <w:lang w:val="en-US" w:eastAsia="zh-CN"/>
              </w:rPr>
              <w:t>0.26 万元/台</w:t>
            </w:r>
          </w:p>
        </w:tc>
      </w:tr>
      <w:tr w14:paraId="064C5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66" w:type="dxa"/>
            <w:vAlign w:val="center"/>
          </w:tcPr>
          <w:p w14:paraId="17003818">
            <w:pPr>
              <w:pStyle w:val="6"/>
              <w:widowControl w:val="0"/>
              <w:jc w:val="center"/>
              <w:rPr>
                <w:rFonts w:hint="default"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4</w:t>
            </w:r>
          </w:p>
        </w:tc>
        <w:tc>
          <w:tcPr>
            <w:tcW w:w="2733" w:type="dxa"/>
            <w:vAlign w:val="center"/>
          </w:tcPr>
          <w:p w14:paraId="223CAAE3">
            <w:pPr>
              <w:pStyle w:val="6"/>
              <w:widowControl w:val="0"/>
              <w:jc w:val="center"/>
              <w:rPr>
                <w:rFonts w:hint="default" w:ascii="仿宋_GB2312" w:hAnsi="仿宋_GB2312" w:eastAsia="仿宋_GB2312" w:cs="仿宋_GB2312"/>
                <w:vertAlign w:val="baseline"/>
                <w:lang w:val="en-US" w:eastAsia="zh-CN"/>
              </w:rPr>
            </w:pPr>
            <w:r>
              <w:rPr>
                <w:rFonts w:hint="default" w:ascii="仿宋_GB2312" w:hAnsi="仿宋_GB2312" w:eastAsia="仿宋_GB2312" w:cs="仿宋_GB2312"/>
                <w:vertAlign w:val="baseline"/>
                <w:lang w:val="en-US" w:eastAsia="zh-CN"/>
              </w:rPr>
              <w:t>安装调试</w:t>
            </w:r>
          </w:p>
        </w:tc>
        <w:tc>
          <w:tcPr>
            <w:tcW w:w="2025" w:type="dxa"/>
            <w:vAlign w:val="center"/>
          </w:tcPr>
          <w:p w14:paraId="0A0EF17D">
            <w:pPr>
              <w:pStyle w:val="6"/>
              <w:widowControl w:val="0"/>
              <w:jc w:val="center"/>
              <w:rPr>
                <w:rFonts w:hint="default" w:ascii="仿宋_GB2312" w:hAnsi="仿宋_GB2312" w:eastAsia="仿宋_GB2312" w:cs="仿宋_GB2312"/>
                <w:vertAlign w:val="baseline"/>
                <w:lang w:val="en-US" w:eastAsia="zh-CN"/>
              </w:rPr>
            </w:pPr>
            <w:r>
              <w:rPr>
                <w:rFonts w:hint="eastAsia" w:ascii="仿宋_GB2312" w:hAnsi="仿宋_GB2312" w:eastAsia="仿宋_GB2312" w:cs="仿宋_GB2312"/>
                <w:vertAlign w:val="baseline"/>
                <w:lang w:val="en-US" w:eastAsia="zh-CN"/>
              </w:rPr>
              <w:t>1</w:t>
            </w:r>
          </w:p>
        </w:tc>
        <w:tc>
          <w:tcPr>
            <w:tcW w:w="2873" w:type="dxa"/>
            <w:vAlign w:val="center"/>
          </w:tcPr>
          <w:p w14:paraId="48779F83">
            <w:pPr>
              <w:pStyle w:val="6"/>
              <w:widowControl w:val="0"/>
              <w:jc w:val="center"/>
              <w:rPr>
                <w:rFonts w:hint="default" w:ascii="仿宋_GB2312" w:hAnsi="仿宋_GB2312" w:eastAsia="仿宋_GB2312" w:cs="仿宋_GB2312"/>
                <w:vertAlign w:val="baseline"/>
                <w:lang w:val="en-US" w:eastAsia="zh-CN"/>
              </w:rPr>
            </w:pPr>
            <w:r>
              <w:rPr>
                <w:rFonts w:hint="default" w:ascii="仿宋_GB2312" w:hAnsi="仿宋_GB2312" w:eastAsia="仿宋_GB2312" w:cs="仿宋_GB2312"/>
                <w:vertAlign w:val="baseline"/>
                <w:lang w:val="en-US" w:eastAsia="zh-CN"/>
              </w:rPr>
              <w:t>4.1万元</w:t>
            </w:r>
          </w:p>
        </w:tc>
      </w:tr>
    </w:tbl>
    <w:p w14:paraId="6383CF69">
      <w:pPr>
        <w:rPr>
          <w:rFonts w:ascii="仿宋_GB2312" w:hAnsi="仿宋_GB2312" w:eastAsia="仿宋_GB2312" w:cs="仿宋_GB2312"/>
          <w:b/>
          <w:sz w:val="36"/>
        </w:rPr>
      </w:pPr>
      <w:bookmarkStart w:id="0" w:name="_GoBack"/>
      <w:bookmarkEnd w:id="0"/>
    </w:p>
    <w:p w14:paraId="185D9BC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CF0893"/>
    <w:rsid w:val="79CF0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18"/>
      <w:szCs w:val="18"/>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2025-09-24T04:59:00Z</dcterms:created>
  <dc:creator>走花路的魔法师</dc:creator>
  <cp:lastModifiedBy>走花路的魔法师</cp:lastModifiedBy>
  <dcterms:modified xsi:type="dcterms:W3CDTF">2025-09-24T04:59:47Z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B21283162A1B4759B632487E62805200_11</vt:lpwstr>
  </property>
  <property fmtid="{D5CDD505-2E9C-101B-9397-08002B2CF9AE}" pid="4" name="KSOTemplateDocerSaveRecord">
    <vt:lpwstr>eyJoZGlkIjoiOGEyYjcyYzk1MzgzYTFlYzdlZWJhMDQ2ZTVmZjkxZTEiLCJ1c2VySWQiOiIxMzAwNzQ5MTIwIn0=</vt:lpwstr>
  </property>
</Properties>
</file>