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版本号：0702-2541SXO6000620251204001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跨河桥梁基础冲刷治理工程防洪评价服务采购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0702-2541SXO60006</w:t>
      </w:r>
      <w:r>
        <w:br/>
      </w:r>
      <w:r>
        <w:br/>
      </w:r>
      <w:r>
        <w:br/>
      </w:r>
    </w:p>
    <w:p>
      <w:pPr>
        <w:pStyle w:val="null3"/>
        <w:jc w:val="center"/>
        <w:outlineLvl w:val="2"/>
      </w:pPr>
      <w:r>
        <w:rPr>
          <w:rFonts w:ascii="仿宋_GB2312" w:hAnsi="仿宋_GB2312" w:cs="仿宋_GB2312" w:eastAsia="仿宋_GB2312"/>
          <w:sz w:val="28"/>
          <w:b/>
        </w:rPr>
        <w:t>西安市城市管理和综合执法局</w:t>
      </w:r>
    </w:p>
    <w:p>
      <w:pPr>
        <w:pStyle w:val="null3"/>
        <w:jc w:val="center"/>
        <w:outlineLvl w:val="2"/>
      </w:pPr>
      <w:r>
        <w:rPr>
          <w:rFonts w:ascii="仿宋_GB2312" w:hAnsi="仿宋_GB2312" w:cs="仿宋_GB2312" w:eastAsia="仿宋_GB2312"/>
          <w:sz w:val="28"/>
          <w:b/>
        </w:rPr>
        <w:t>中机国际招标有限公司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中机国际招标有限公司</w:t>
      </w:r>
      <w:r>
        <w:rPr>
          <w:rFonts w:ascii="仿宋_GB2312" w:hAnsi="仿宋_GB2312" w:cs="仿宋_GB2312" w:eastAsia="仿宋_GB2312"/>
        </w:rPr>
        <w:t>（以下简称“代理机构”）受</w:t>
      </w:r>
      <w:r>
        <w:rPr>
          <w:rFonts w:ascii="仿宋_GB2312" w:hAnsi="仿宋_GB2312" w:cs="仿宋_GB2312" w:eastAsia="仿宋_GB2312"/>
        </w:rPr>
        <w:t>西安市城市管理和综合执法局</w:t>
      </w:r>
      <w:r>
        <w:rPr>
          <w:rFonts w:ascii="仿宋_GB2312" w:hAnsi="仿宋_GB2312" w:cs="仿宋_GB2312" w:eastAsia="仿宋_GB2312"/>
        </w:rPr>
        <w:t>委托，拟对</w:t>
      </w:r>
      <w:r>
        <w:rPr>
          <w:rFonts w:ascii="仿宋_GB2312" w:hAnsi="仿宋_GB2312" w:cs="仿宋_GB2312" w:eastAsia="仿宋_GB2312"/>
        </w:rPr>
        <w:t>跨河桥梁基础冲刷治理工程防洪评价服务采购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0702-2541SXO60006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跨河桥梁基础冲刷治理工程防洪评价服务采购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项目建设位置位于西安市灞河新桥、长乐坡浐河桥现状桥梁，主要对上述2座现状城市桥梁基础冲刷进行防护治理，（1）对灞河新桥12#-19#排墩位共计32个桩基进行钢筋混凝土外包防护；对12#-19#排共计8个墩位整体进行宾格石笼防护；施工区域围堰、施工便道修筑、河道防护等。（2）对长乐坡浐河桥3#-10#排墩位共计32个桩基进行钢筋混凝土外包防护；对3#-10#排墩位下游15m范围河床缺损区域进行硬化铺砌；施工区域围堰、施工便道修筑、河道防护等，具体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采购包1（跨河桥梁基础冲刷治理工程防洪评价服务采购）：属于专门面向中小企业采购。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须提供法定代表人身份证明及身份证复印件；授权代表参与磋商，须提供法定代表人授权书（附法定代表人、被授权人身份证复印件）及被授权人身份证复印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叶俊秀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029-67098411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中机国际招标有限公司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北京市丰台区西营街1号院通用时代中心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100071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18066804314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代理服务费收费标准：参照国家计委颁发的《招标代理服务收费管理暂行办法》(计价格[2002]1980号)规定的招标代理服务收费标准下浮23%计算收取。 户名：中机国际招标有限公司 开户行：中国银行北京西城支行 账号：3233 6606 6071 请成交供应商按照要求将服务费汇入以上指定账户，如因自身原因发生错误，产生的不利后果均由供应商自行承担。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西安市城市管理和综合执法局</w:t>
      </w:r>
      <w:r>
        <w:rPr>
          <w:rFonts w:ascii="仿宋_GB2312" w:hAnsi="仿宋_GB2312" w:cs="仿宋_GB2312" w:eastAsia="仿宋_GB2312"/>
        </w:rPr>
        <w:t>和</w:t>
      </w:r>
      <w:r>
        <w:rPr>
          <w:rFonts w:ascii="仿宋_GB2312" w:hAnsi="仿宋_GB2312" w:cs="仿宋_GB2312" w:eastAsia="仿宋_GB2312"/>
        </w:rPr>
        <w:t>中机国际招标有限公司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中机国际招标有限公司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中机国际招标有限公司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中机国际招标有限公司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中机国际招标有限公司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中机国际招标有限公司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联系人：黄粤</w:t>
      </w:r>
    </w:p>
    <w:p>
      <w:pPr>
        <w:pStyle w:val="null3"/>
      </w:pPr>
      <w:r>
        <w:rPr>
          <w:rFonts w:ascii="仿宋_GB2312" w:hAnsi="仿宋_GB2312" w:cs="仿宋_GB2312" w:eastAsia="仿宋_GB2312"/>
        </w:rPr>
        <w:t>联系电话：18066804314</w:t>
      </w:r>
    </w:p>
    <w:p>
      <w:pPr>
        <w:pStyle w:val="null3"/>
      </w:pPr>
      <w:r>
        <w:rPr>
          <w:rFonts w:ascii="仿宋_GB2312" w:hAnsi="仿宋_GB2312" w:cs="仿宋_GB2312" w:eastAsia="仿宋_GB2312"/>
        </w:rPr>
        <w:t>地址：北京市丰台区西营街1号院通用时代中心</w:t>
      </w:r>
    </w:p>
    <w:p>
      <w:pPr>
        <w:pStyle w:val="null3"/>
      </w:pPr>
      <w:r>
        <w:rPr>
          <w:rFonts w:ascii="仿宋_GB2312" w:hAnsi="仿宋_GB2312" w:cs="仿宋_GB2312" w:eastAsia="仿宋_GB2312"/>
        </w:rPr>
        <w:t>邮编：100071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该项目建设位置位于西安市灞河新桥、长乐坡浐河桥现状桥梁，主要对上述2座现状城市桥梁基础冲刷进行防护治理，（1）对灞河新桥12#-19#排墩位共计32个桩基进行钢筋混凝土外包防护；对12#-19#排共计8个墩位整体进行宾格石笼防护；施工区域围堰、施工便道修筑、河道防护等。（2）对长乐坡浐河桥3#-10#排墩位共计32个桩基进行钢筋混凝土外包防护；对3#-10#排墩位下游15m范围河床缺损区域进行硬化铺砌；施工区域围堰、施工便道修筑、河道防护等，具体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跨河桥梁基础冲刷治理工程防洪评价服务采购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标的名称：跨河桥梁基础冲刷治理工程防洪评价服务采购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sz w:val="20"/>
              </w:rPr>
              <w:t>一、项目概况</w:t>
            </w:r>
          </w:p>
          <w:p>
            <w:pPr>
              <w:pStyle w:val="null3"/>
            </w:pPr>
            <w:r>
              <w:rPr>
                <w:rFonts w:ascii="仿宋_GB2312" w:hAnsi="仿宋_GB2312" w:cs="仿宋_GB2312" w:eastAsia="仿宋_GB2312"/>
                <w:sz w:val="20"/>
              </w:rPr>
              <w:t>该项目建设位置位于西安市灞河新桥、长乐坡浐河桥现状桥梁，主要对上述</w:t>
            </w:r>
            <w:r>
              <w:rPr>
                <w:rFonts w:ascii="仿宋_GB2312" w:hAnsi="仿宋_GB2312" w:cs="仿宋_GB2312" w:eastAsia="仿宋_GB2312"/>
                <w:sz w:val="20"/>
              </w:rPr>
              <w:t>2座现状城市桥梁基础冲刷进行防护治理，（1）对灞河新桥12#-19#排墩位共计32个桩基进行钢筋混凝土外包防护；对12#-19#排共计8个墩位整体进行宾格石笼防护；施工区域围堰、施工便道修筑、河道防护等。（2）对长乐坡浐河桥3#-10#排墩位共计32个桩基进行钢筋混凝土外包防护；对3#-10#排墩位下游15m范围河床缺损区域进行硬化铺砌；施工区域围堰、施工便道修筑、河道防护等。</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400"/>
              <w:jc w:val="both"/>
            </w:pPr>
            <w:r>
              <w:rPr>
                <w:rFonts w:ascii="仿宋_GB2312" w:hAnsi="仿宋_GB2312" w:cs="仿宋_GB2312" w:eastAsia="仿宋_GB2312"/>
                <w:sz w:val="20"/>
              </w:rPr>
              <w:t>二、服务内容</w:t>
            </w:r>
          </w:p>
          <w:p>
            <w:pPr>
              <w:pStyle w:val="null3"/>
              <w:ind w:firstLine="400"/>
              <w:jc w:val="both"/>
            </w:pPr>
            <w:r>
              <w:rPr>
                <w:rFonts w:ascii="仿宋_GB2312" w:hAnsi="仿宋_GB2312" w:cs="仿宋_GB2312" w:eastAsia="仿宋_GB2312"/>
                <w:sz w:val="20"/>
              </w:rPr>
              <w:t>一是对治理对象桥梁进行建设资料</w:t>
            </w:r>
            <w:r>
              <w:rPr>
                <w:rFonts w:ascii="仿宋_GB2312" w:hAnsi="仿宋_GB2312" w:cs="仿宋_GB2312" w:eastAsia="仿宋_GB2312"/>
                <w:sz w:val="20"/>
              </w:rPr>
              <w:t>收集，对建设桥梁所在河段进行</w:t>
            </w:r>
            <w:r>
              <w:rPr>
                <w:rFonts w:ascii="仿宋_GB2312" w:hAnsi="仿宋_GB2312" w:cs="仿宋_GB2312" w:eastAsia="仿宋_GB2312"/>
                <w:sz w:val="20"/>
              </w:rPr>
              <w:t>地质勘查</w:t>
            </w:r>
            <w:r>
              <w:rPr>
                <w:rFonts w:ascii="仿宋_GB2312" w:hAnsi="仿宋_GB2312" w:cs="仿宋_GB2312" w:eastAsia="仿宋_GB2312"/>
                <w:sz w:val="20"/>
              </w:rPr>
              <w:t>、暴雨、洪水、泥沙</w:t>
            </w:r>
            <w:r>
              <w:rPr>
                <w:rFonts w:ascii="仿宋_GB2312" w:hAnsi="仿宋_GB2312" w:cs="仿宋_GB2312" w:eastAsia="仿宋_GB2312"/>
                <w:sz w:val="20"/>
              </w:rPr>
              <w:t>等基础资料收集，进行防洪规划、河道整治规划、地形图等流域与河道资料收集，并进行必要的现场勘察等。</w:t>
            </w:r>
          </w:p>
          <w:p>
            <w:pPr>
              <w:pStyle w:val="null3"/>
              <w:ind w:firstLine="400"/>
              <w:jc w:val="both"/>
            </w:pPr>
            <w:r>
              <w:rPr>
                <w:rFonts w:ascii="仿宋_GB2312" w:hAnsi="仿宋_GB2312" w:cs="仿宋_GB2312" w:eastAsia="仿宋_GB2312"/>
                <w:sz w:val="20"/>
              </w:rPr>
              <w:t>二是对治理对象桥梁</w:t>
            </w:r>
            <w:r>
              <w:rPr>
                <w:rFonts w:ascii="仿宋_GB2312" w:hAnsi="仿宋_GB2312" w:cs="仿宋_GB2312" w:eastAsia="仿宋_GB2312"/>
                <w:sz w:val="20"/>
              </w:rPr>
              <w:t>所在河段</w:t>
            </w:r>
            <w:r>
              <w:rPr>
                <w:rFonts w:ascii="仿宋_GB2312" w:hAnsi="仿宋_GB2312" w:cs="仿宋_GB2312" w:eastAsia="仿宋_GB2312"/>
                <w:sz w:val="20"/>
              </w:rPr>
              <w:t>进行河床水域演变分析和暴雨洪水分析、河道洪水水面线计算等。</w:t>
            </w:r>
          </w:p>
          <w:p>
            <w:pPr>
              <w:pStyle w:val="null3"/>
            </w:pPr>
            <w:r>
              <w:rPr>
                <w:rFonts w:ascii="仿宋_GB2312" w:hAnsi="仿宋_GB2312" w:cs="仿宋_GB2312" w:eastAsia="仿宋_GB2312"/>
                <w:sz w:val="20"/>
              </w:rPr>
              <w:t>三是对治理对象桥梁进行进行防洪综合评价、制定防治与补救措施等，编制《洪水影响评价报告》、协助报告进行评审与报批等工作。</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00"/>
              <w:jc w:val="both"/>
            </w:pPr>
            <w:r>
              <w:rPr>
                <w:rFonts w:ascii="仿宋_GB2312" w:hAnsi="仿宋_GB2312" w:cs="仿宋_GB2312" w:eastAsia="仿宋_GB2312"/>
                <w:sz w:val="20"/>
              </w:rPr>
              <w:t>三、</w:t>
            </w:r>
            <w:r>
              <w:rPr>
                <w:rFonts w:ascii="仿宋_GB2312" w:hAnsi="仿宋_GB2312" w:cs="仿宋_GB2312" w:eastAsia="仿宋_GB2312"/>
                <w:sz w:val="20"/>
              </w:rPr>
              <w:t>技术要求</w:t>
            </w:r>
          </w:p>
          <w:p>
            <w:pPr>
              <w:pStyle w:val="null3"/>
              <w:ind w:firstLine="400"/>
              <w:jc w:val="both"/>
            </w:pPr>
            <w:r>
              <w:rPr>
                <w:rFonts w:ascii="仿宋_GB2312" w:hAnsi="仿宋_GB2312" w:cs="仿宋_GB2312" w:eastAsia="仿宋_GB2312"/>
                <w:sz w:val="20"/>
              </w:rPr>
              <w:t>洪水影响评价应独立成册，完整、全面地反应项目建设对河道防洪的影响以及河道洪水对桥梁的影响，对项目区设计洪水、洪水位及河床冲刷等项目应借助现有计算方法进行定量分析，对项目区所在河段第三者的影响等难以定量分析的应进行定性分析，提出防治、补救和减免措施。报告采用的资料和评价依据应齐全、可靠，符合时效性要求；评价范围应完整，评价内容要全面，技术路线正确，评价结论要可信。</w:t>
            </w:r>
          </w:p>
          <w:p>
            <w:pPr>
              <w:pStyle w:val="null3"/>
              <w:ind w:firstLine="400"/>
              <w:jc w:val="both"/>
            </w:pPr>
            <w:r>
              <w:rPr>
                <w:rFonts w:ascii="仿宋_GB2312" w:hAnsi="仿宋_GB2312" w:cs="仿宋_GB2312" w:eastAsia="仿宋_GB2312"/>
                <w:sz w:val="20"/>
              </w:rPr>
              <w:t>四、服务要求</w:t>
            </w:r>
          </w:p>
          <w:p>
            <w:pPr>
              <w:pStyle w:val="null3"/>
            </w:pPr>
            <w:r>
              <w:rPr>
                <w:rFonts w:ascii="仿宋_GB2312" w:hAnsi="仿宋_GB2312" w:cs="仿宋_GB2312" w:eastAsia="仿宋_GB2312"/>
                <w:sz w:val="20"/>
              </w:rPr>
              <w:t>1、项目编制单位应安排具备水利、水文</w:t>
            </w:r>
            <w:r>
              <w:rPr>
                <w:rFonts w:ascii="仿宋_GB2312" w:hAnsi="仿宋_GB2312" w:cs="仿宋_GB2312" w:eastAsia="仿宋_GB2312"/>
                <w:sz w:val="20"/>
              </w:rPr>
              <w:t>及水资源</w:t>
            </w:r>
            <w:r>
              <w:rPr>
                <w:rFonts w:ascii="仿宋_GB2312" w:hAnsi="仿宋_GB2312" w:cs="仿宋_GB2312" w:eastAsia="仿宋_GB2312"/>
                <w:sz w:val="20"/>
              </w:rPr>
              <w:t>等相关专业人员。</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spacing w:before="30" w:after="30"/>
              <w:jc w:val="both"/>
            </w:pPr>
            <w:r>
              <w:rPr>
                <w:rFonts w:ascii="仿宋_GB2312" w:hAnsi="仿宋_GB2312" w:cs="仿宋_GB2312" w:eastAsia="仿宋_GB2312"/>
                <w:sz w:val="20"/>
              </w:rPr>
              <w:t>2、资料收集、踏勘等工作项应在签订合同后</w:t>
            </w:r>
            <w:r>
              <w:rPr>
                <w:rFonts w:ascii="仿宋_GB2312" w:hAnsi="仿宋_GB2312" w:cs="仿宋_GB2312" w:eastAsia="仿宋_GB2312"/>
                <w:sz w:val="20"/>
              </w:rPr>
              <w:t>3个工作日内启动，30个工作日内提交服务成果。</w:t>
            </w:r>
          </w:p>
          <w:p>
            <w:pPr>
              <w:pStyle w:val="null3"/>
            </w:pPr>
            <w:r>
              <w:rPr>
                <w:rFonts w:ascii="仿宋_GB2312" w:hAnsi="仿宋_GB2312" w:cs="仿宋_GB2312" w:eastAsia="仿宋_GB2312"/>
                <w:sz w:val="20"/>
              </w:rPr>
              <w:t>3、成果提交：乙方按甲方要求的格式及数量提交相关成果文件，项目成果文件电子版</w:t>
            </w:r>
            <w:r>
              <w:rPr>
                <w:rFonts w:ascii="仿宋_GB2312" w:hAnsi="仿宋_GB2312" w:cs="仿宋_GB2312" w:eastAsia="仿宋_GB2312"/>
                <w:sz w:val="20"/>
              </w:rPr>
              <w:t>1份纸质版10册。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自合同签订之日起至编制成果通过专家评审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双方签署合同后，项目开始实施且开具合法发票后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完成编制且开具合法发票后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成果文件通过专家评审后且开具合法发票后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中华人民共和国政府采购法实施条例》的相关条款和本合同约定，乙方未全面履行合同义务或者发生违约，甲方会同采购代理机构有权终止合同，依法向乙方进行经济索赔，并报请政府采购监督管理机关进行相应的行政处罚。甲方违约的，应当赔偿给乙方造成的经济损失。 合同执行中发生争议的，当事人双方应协商解决。协商达不成一致时，可向当地行政仲裁机关申请仲裁或者向人民法院提请诉讼。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①具有独立承担民事责任能力的法人、其他组织或自然人，提供合法有效的统一社会信用代码营业执照（事业单位法人证书/专业服务机构执业许可证/民办非企业单位登记证书，自然人提供身份证）；②税收缴纳证明：法人提供磋商截止日前一年内任意一个月的纳税证明或完税证明，纳税证明或完税证明上应有代收机构或税务机关的公章或业务专用章；其他组织和自然人提供磋商截止日前一年内任意一个月缴纳税收的凭据；依法免税的或者依法不需缴税的供应商应提供相关文件证明；③社会保障资金缴纳证明：提供磋商截止日前一年内任意一个月已缴纳的社会保障资金的证明（社会保障资金缴存单据或社保机构开具的社会保险参保缴费情况证明等）；依法不需要缴纳社会保障资金的供应商应提供相关文件证明；④提供具有履行本合同所必需的设备和专业技术能力的声明；⑤参加本次政府采购活动前3年内在经营活动中没有重大违纪，以及未被列入失信被执行人、重大税收违法案件当事人名单、政府采购严重违法失信行为记录名单的书面声明；注：以上②-⑤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法人提供会计师事务所出具的有效的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注：此项资格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法定代表人直接参加磋商，须提供法定代表人身份证明及身份证复印件；授权代表参与磋商，须提供法定代表人授权书（附法定代表人、被授权人身份证复印件）及被授权人身份证复印件；</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完整无缺项，未超过最高限价(单价限价)， 无选择性报价。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磋商响应文件的签字盖章合格有效</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完全理解并响应磋商文件合同条款的要求，且未含有采购人不能接受的附加条件的。</w:t>
            </w:r>
          </w:p>
        </w:tc>
        <w:tc>
          <w:tcPr>
            <w:tcW w:type="dxa" w:w="1661"/>
          </w:tcPr>
          <w:p>
            <w:pPr>
              <w:pStyle w:val="null3"/>
            </w:pPr>
            <w:r>
              <w:rPr>
                <w:rFonts w:ascii="仿宋_GB2312" w:hAnsi="仿宋_GB2312" w:cs="仿宋_GB2312" w:eastAsia="仿宋_GB2312"/>
              </w:rPr>
              <w:t>商务、服务、技术条款偏离表.docx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符合磋商文件的实质性要求</w:t>
            </w:r>
          </w:p>
        </w:tc>
        <w:tc>
          <w:tcPr>
            <w:tcW w:type="dxa" w:w="3322"/>
          </w:tcPr>
          <w:p>
            <w:pPr>
              <w:pStyle w:val="null3"/>
            </w:pPr>
            <w:r>
              <w:rPr>
                <w:rFonts w:ascii="仿宋_GB2312" w:hAnsi="仿宋_GB2312" w:cs="仿宋_GB2312" w:eastAsia="仿宋_GB2312"/>
              </w:rPr>
              <w:t>符合磋商文件的所有实质性要求</w:t>
            </w:r>
          </w:p>
        </w:tc>
        <w:tc>
          <w:tcPr>
            <w:tcW w:type="dxa" w:w="1661"/>
          </w:tcPr>
          <w:p>
            <w:pPr>
              <w:pStyle w:val="null3"/>
            </w:pPr>
            <w:r>
              <w:rPr>
                <w:rFonts w:ascii="仿宋_GB2312" w:hAnsi="仿宋_GB2312" w:cs="仿宋_GB2312" w:eastAsia="仿宋_GB2312"/>
              </w:rPr>
              <w:t>商务、服务、技术条款偏离表.docx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针对本项目理解深度及定位分析</w:t>
            </w:r>
          </w:p>
        </w:tc>
        <w:tc>
          <w:tcPr>
            <w:tcW w:type="dxa" w:w="2492"/>
          </w:tcPr>
          <w:p>
            <w:pPr>
              <w:pStyle w:val="null3"/>
            </w:pPr>
            <w:r>
              <w:rPr>
                <w:rFonts w:ascii="仿宋_GB2312" w:hAnsi="仿宋_GB2312" w:cs="仿宋_GB2312" w:eastAsia="仿宋_GB2312"/>
              </w:rPr>
              <w:t>结合本项目的采购需求及实际情况，对前期调研、后期定位分析等进行分析： 1.对项目背景、工作内容和要求、分析评价方法等理解准确、全面，分析到位，得10分； 2.对项目背景、工作内容和要求、分析评价方法等理解较准确、分析较全面，得8分； 3.对项目背景、工作内容和要求、分析评价方法等理解基本准确、分析基本全面，得6分； 4.对项目背景、工作内容和要求、分析评价方法等理解不够准确，分析简单，得4分； 5.对项目背景、工作内容和要求、分析评价方法等，理解存在较大偏差，得2分； 未提供或其他得0分。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针对本项目的服务方案</w:t>
            </w:r>
          </w:p>
        </w:tc>
        <w:tc>
          <w:tcPr>
            <w:tcW w:type="dxa" w:w="2492"/>
          </w:tcPr>
          <w:p>
            <w:pPr>
              <w:pStyle w:val="null3"/>
            </w:pPr>
            <w:r>
              <w:rPr>
                <w:rFonts w:ascii="仿宋_GB2312" w:hAnsi="仿宋_GB2312" w:cs="仿宋_GB2312" w:eastAsia="仿宋_GB2312"/>
              </w:rPr>
              <w:t>结合本项目的实际情况，提供针对本项目的服务方案： 1.有完整的服务方案及措施，方案具体可行，针对性强，得15分； 2.有较完整的服务方案及措施，方案比较可行，针对性较强，得12分； 3.服务方案及措施基本完整，措施一般，针对性一般，得9分； 4.有服务方案，保证措施不够全面，可行性一般，针对性不强，得6分； 5.服务方案及措施笼统简单，针对性差，得3分； 未提供或其他得0分。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项目的重、难点及关键技术对策分析</w:t>
            </w:r>
          </w:p>
        </w:tc>
        <w:tc>
          <w:tcPr>
            <w:tcW w:type="dxa" w:w="2492"/>
          </w:tcPr>
          <w:p>
            <w:pPr>
              <w:pStyle w:val="null3"/>
            </w:pPr>
            <w:r>
              <w:rPr>
                <w:rFonts w:ascii="仿宋_GB2312" w:hAnsi="仿宋_GB2312" w:cs="仿宋_GB2312" w:eastAsia="仿宋_GB2312"/>
              </w:rPr>
              <w:t>结合本项目的实际情况，对项目的重、难点及关键技术对策分析： 1.关键性问题和工作重点难点分析准确、对策合理可行，得10分； 2.关键性问题和工作重点难点分析较准确、对策较合理较可行，得8分； 3.关键性问题和工作重点难点分析基本准确、对策一般合理可行，得6分； 4.关键性问题和工作重点难点分析有偏差、对策不太合理，不太可行，得4分； 5.关键性问题和工作重点难点分析偏差较大、对策不合理，不可行，得2分； 未提供或其他得0分。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工作计划及进度保证措施</w:t>
            </w:r>
          </w:p>
        </w:tc>
        <w:tc>
          <w:tcPr>
            <w:tcW w:type="dxa" w:w="2492"/>
          </w:tcPr>
          <w:p>
            <w:pPr>
              <w:pStyle w:val="null3"/>
            </w:pPr>
            <w:r>
              <w:rPr>
                <w:rFonts w:ascii="仿宋_GB2312" w:hAnsi="仿宋_GB2312" w:cs="仿宋_GB2312" w:eastAsia="仿宋_GB2312"/>
              </w:rPr>
              <w:t>结合本项目的实际情况，提供工作计划及进度保证措施： 1.有完整的工作计划和进度保证措施，进度措施具体可行，针对性强，得10分； 2.有较完整的工作计划和进度保证措施，进度保证措施比较可行，针对性较强，得8分； 3.工作计划基本完整，进度保证措施一般，针对性一般，得6分； 4.有工作计划，进度保证措施不够全面，可行性一般，针对性不强，得4分； 5.工作计划及进度保证措施笼统简单，针对性差，得2分； 未提供或其他得0分。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拟投入的设备方案</w:t>
            </w:r>
          </w:p>
        </w:tc>
        <w:tc>
          <w:tcPr>
            <w:tcW w:type="dxa" w:w="2492"/>
          </w:tcPr>
          <w:p>
            <w:pPr>
              <w:pStyle w:val="null3"/>
            </w:pPr>
            <w:r>
              <w:rPr>
                <w:rFonts w:ascii="仿宋_GB2312" w:hAnsi="仿宋_GB2312" w:cs="仿宋_GB2312" w:eastAsia="仿宋_GB2312"/>
              </w:rPr>
              <w:t>根据供应商提供的拟投入的设备方案，包括①设备清单②设备具体内容等。1.拟投入设备方案配套齐全、设备数量充足、能有效保证项目顺利实施的，得10分；2.拟投入设备方案配套较齐全、设备数量充足、能保证项目顺利实施的，得8分；3.拟投入设备方案配套基本齐全、设备数量较为充足、能基本保证项目顺利实施的，得6分；4.拟投入设备方案配套基本齐全、设备数量基本充足、能基本保证项目顺利实施的，得4分；5.拟投入设备方案配套不齐全、设备数量一般、缺少关键设施设备，不能保证基本所需的，得2分；未提供或其他得0分。 (提供设备清单及设备图片，清单内容包含但不限于：品目名、数量、价格、品牌、规格型号等。)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技术负责人</w:t>
            </w:r>
          </w:p>
        </w:tc>
        <w:tc>
          <w:tcPr>
            <w:tcW w:type="dxa" w:w="2492"/>
          </w:tcPr>
          <w:p>
            <w:pPr>
              <w:pStyle w:val="null3"/>
            </w:pPr>
            <w:r>
              <w:rPr>
                <w:rFonts w:ascii="仿宋_GB2312" w:hAnsi="仿宋_GB2312" w:cs="仿宋_GB2312" w:eastAsia="仿宋_GB2312"/>
              </w:rPr>
              <w:t>1.项目技术负责人具有水文、水利及水资源相关专业高级及以上职称的，得2分。未提供或其他不得分。 2.项目技术负责人具有类似业绩的，每一个得1.5分，满分3分。未提供或其他不得分。 注：项目技术负责人业绩需提供有效证明文件。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拟投入人员配备</w:t>
            </w:r>
          </w:p>
        </w:tc>
        <w:tc>
          <w:tcPr>
            <w:tcW w:type="dxa" w:w="2492"/>
          </w:tcPr>
          <w:p>
            <w:pPr>
              <w:pStyle w:val="null3"/>
            </w:pPr>
            <w:r>
              <w:rPr>
                <w:rFonts w:ascii="仿宋_GB2312" w:hAnsi="仿宋_GB2312" w:cs="仿宋_GB2312" w:eastAsia="仿宋_GB2312"/>
              </w:rPr>
              <w:t>根据供应商本项目提供的拟投入的人员配备，包括①拟投入人员清单②岗位分工及责任制度③人员管理制度等内容。1.拟投入人员配备合理、人员数量充足、职责明确、分工清晰、工作经历丰富、能够完全满足采购所需的得，计10分；2.拟投入人员配备较为合理、人员数量较充足、职责、分工较清晰、工作经历较丰富、能满足采购所需的，计8分；3.拟投入人员配备较为合理、人员数量基本充足、职责、分工基本清晰、工作经历、基本能满足基本采购所需的，计6分；4.拟投入人员配备较为合理、人员数量一般、职责、分工一般、缺少部分工作经历、勉强能满足基本采购所需的，计4分；5.拟派人员配备不合理且有欠缺、人员数量无保证、职责、分工不明确、工作经历较少、不能够满足采购所需的，计2分；未提供或其他得0分。 注：须提供人员相关证明材料（包括但不限于身份证、学历证、职称证等）证明材料。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 供应商针对本项目编制完善的服务承诺，内容包含:①服务质量保证措施及承诺，包括但不限于信息的及时反馈、实施工作中的主动沟通汇报；②拟派人员专业能力承诺，包括但不限于拟派人员专业能力的承诺、若采购人对服务不满意，可要求更换拟派人员等； 2、赋分标准 （1）承诺内容科学合理、可操作性强、内容齐全、完全满足项目需求，得10分；（2）承诺内容可行且科学合理可操作性较强、内容较齐全，基本满足项目需求，得8分；（3）承诺内容较科学合理有一定的操作性、内容较齐全，基本满足项目需求得6分；（4）承诺内容可行性一般，内容基本合理，得4分；（5）承诺内容欠缺、缺乏科学性合理性、可操作性较差，得2分。 未提供或其他得0分。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供应商提供2022年12月至今类似项目业绩，以合同复印件为准，每一份计2分，最多计10分。 评审标准：业绩证明材料（以提供的合同复印件为准，合同关键页复印件并加盖供应商公章，合同关键页内容须包含签订双方名称、签订时间、主要服务内容、双方盖章页等）。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加强政府采购货物和服务项目价格评审管理的通知》（财库[2007]2号）的有关规定：价格分采用低价优先法计算，即满足竞争性磋商文件要求且投标价格最低的投标报价为评标基准价，其价格分为满分。其他投标人的价格分统一按照下列公式计算：投标报价得分＝（评标基准价／投标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详见附件：商务、服务、技术条款偏离表.docx</w:t>
      </w:r>
    </w:p>
    <w:p>
      <w:pPr>
        <w:pStyle w:val="null3"/>
        <w:ind w:firstLine="960"/>
      </w:pPr>
      <w:r>
        <w:rPr>
          <w:rFonts w:ascii="仿宋_GB2312" w:hAnsi="仿宋_GB2312" w:cs="仿宋_GB2312" w:eastAsia="仿宋_GB2312"/>
        </w:rPr>
        <w:t>详见附件：磋商响应方案说明书.docx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