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版本号：XBZB-2025-17620251205001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城市桥梁安全风险在线监测设备安装工程（第一批）设计服务采购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XBZB-2025-176</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城市桥梁安全风险在线监测设备安装工程（第一批）设计服务采购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城市桥梁安全风险在线监测设备安装工程（第一批）设计服务采购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城市桥梁安全风险在线监测设备安装工程（第一批）设计服务采购。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资质证书：供应商须具备【工程设计综合甲级资质】，或【市政行业工程设计甲级】及以上,或【市政行业（燃气工程、轨道交通工程除外）甲级】及以上,或【市政行业（桥梁工程）专业甲级】及以上资质，并在人员、设备、资金等方面具备相应的能力；</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029-67098411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刘姣、卫梦艺、王薇、刘辉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13279212986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时，向西北国际（陕西）造价管理集团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下浮25%执行。 2.招标代理服务费应采用转账、刷卡、现金形式缴纳。 汇款账户：⑴开户行名称：西北国际（陕西）造价管理集团有限公司 ⑵开户行：招商银行股份有限公司西安雁塔路支行 ⑶账 号：1299 1289 8210 301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联系人：刘姣、卫梦艺、王薇、刘辉</w:t>
      </w:r>
    </w:p>
    <w:p>
      <w:pPr>
        <w:pStyle w:val="null3"/>
      </w:pPr>
      <w:r>
        <w:rPr>
          <w:rFonts w:ascii="仿宋_GB2312" w:hAnsi="仿宋_GB2312" w:cs="仿宋_GB2312" w:eastAsia="仿宋_GB2312"/>
        </w:rPr>
        <w:t>联系电话：13279212986</w:t>
      </w:r>
    </w:p>
    <w:p>
      <w:pPr>
        <w:pStyle w:val="null3"/>
      </w:pPr>
      <w:r>
        <w:rPr>
          <w:rFonts w:ascii="仿宋_GB2312" w:hAnsi="仿宋_GB2312" w:cs="仿宋_GB2312" w:eastAsia="仿宋_GB2312"/>
        </w:rPr>
        <w:t>地址：陕西省西安市碑林区陕西省西安市碑林区长安国际中心F座办公楼17层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城市桥梁安全风险在线监测设备安装工程（第一批）设计服务采购。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1,304,700.00</w:t>
      </w:r>
    </w:p>
    <w:p>
      <w:pPr>
        <w:pStyle w:val="null3"/>
      </w:pPr>
      <w:r>
        <w:rPr>
          <w:rFonts w:ascii="仿宋_GB2312" w:hAnsi="仿宋_GB2312" w:cs="仿宋_GB2312" w:eastAsia="仿宋_GB2312"/>
        </w:rPr>
        <w:t>采购包最高限价（元）: 1,304,700.00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城市桥梁安全风险在线监测设备安装工程（第一批）设计服务采购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1,304,700.00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标的名称：城市桥梁安全风险在线监测设备安装工程（第一批）设计服务采购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城市桥梁安全风险在线监测设备安装工程（第一批），该工程主要对西二环大兴路立交桥、穆将王立交、未央路立交桥等21座城市桥梁进行安全风险在线监测设备安装等。主要建设内容为：（1）图像位移计、光纤光栅应变计、拉线位移计等传感器及串口服务器、光纤光栅解调仪等数据采集传输设备的设计安装；（2）供电线缆、通讯线缆、配电箱等工程辅材施工；（3）设备标定、数据前段处理等；（4）供电、网络接入等。</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设计服务内容主要包括城市桥梁安全风险在线监测设备安装工程（第一批）的初步设计（含初步设计概算）、施工图设计、施工配合（包括设计技术交底、解决施工中设计及施工现场技术问题、参加试运行考核和竣工验收）等。</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（一）工程设计适用的技术标准</w:t>
            </w:r>
          </w:p>
          <w:p>
            <w:pPr>
              <w:pStyle w:val="null3"/>
            </w:pPr>
            <w:r>
              <w:rPr>
                <w:rFonts w:ascii="仿宋_GB2312" w:hAnsi="仿宋_GB2312" w:cs="仿宋_GB2312" w:eastAsia="仿宋_GB2312"/>
              </w:rPr>
              <w:t>工程设计等应符合《市政公用工程设计文件编制深度规定》（中华人民共和国住房城乡建设部，2025年）、现行有效的国家标准、行业标准、工程所在地的地方性标准，以及相应的规范、规程等。</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发包人要求设计人提交电子版设计文件的具体形式为：设计人应向发包人分别提供初步设计（含初步设计概算）、施工图设计文件各 8 套，并按发包人要求格式提供电子版光盘 5 套。</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设计单位应全程配合设计服务工作。</w:t>
            </w:r>
          </w:p>
          <w:p>
            <w:pPr>
              <w:pStyle w:val="null3"/>
            </w:pPr>
            <w:r>
              <w:rPr>
                <w:rFonts w:ascii="仿宋_GB2312" w:hAnsi="仿宋_GB2312" w:cs="仿宋_GB2312" w:eastAsia="仿宋_GB2312"/>
              </w:rPr>
              <w:t>四、工程设计服务承诺：</w:t>
            </w:r>
          </w:p>
          <w:p>
            <w:pPr>
              <w:pStyle w:val="null3"/>
            </w:pPr>
            <w:r>
              <w:rPr>
                <w:rFonts w:ascii="仿宋_GB2312" w:hAnsi="仿宋_GB2312" w:cs="仿宋_GB2312" w:eastAsia="仿宋_GB2312"/>
              </w:rPr>
              <w:t>设计单位应当在建设工程施工前向施工、监理单位说明设计文件意图；项目开工后配合施工单位对图纸进行会审、设计技术交底；解决施工中设计及施工现场技术问题；对现场施工是否符合图纸要求提出意见；设计单位参与项目的进度控制和预算控制；设计单位应当参加设计文件中标注的重点部位和环节的分部工程、分项工程和单位工程的验收，并签署意见；设计单位应当参加建设工程竣工验收，对是否符合设计要求签字确认，并向建设单位提供建设工程的使用维护说明；参加试运行考核和竣工验收；设计单位应当参与建设工程质量事故分析，并对因设计造成的质量事故，提出相应的技术处理方案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双方均有义务对属于对方的技术和经济秘密进行保护，未经同意不得将对方的资料、成果用于本项目以外的项目。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自合同签订之日起至项目移交验收通过后。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日内，发包人预付签约合同价的40%作为预付款。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设计人提交初步设计及概算，通过财政概算评审并获得初步设计批复，完成施工图设计经审查合格，配合完成财政预算评审，并经甲方验收后15日内支付本合同最终设计费的90%（并扣减预付款）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工程竣验收通过后15日内支付本合同最终设计费的10%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 2.成交人在领取成交通知书时提供一正两副纸质竞争性磋商响应文件，纸质竞争性磋商响应文件采用书籍（胶装）方式装订成册，与电子竞争性磋商响应文件一致的签字、盖章的完整版本。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 法定代表人授权委托书（格式）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工程设计综合甲级资质】，或【市政行业工程设计甲级】及以上,或【市政行业（燃气工程、轨道交通工程除外）甲级】及以上,或【市政行业（桥梁工程）专业甲级】及以上资质，并在人员、设备、资金等方面具备相应的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除明确允许供应商可以自行编写的外，磋商响应文件应按照磋商文件给定的格式编制。</w:t>
            </w:r>
          </w:p>
        </w:tc>
        <w:tc>
          <w:tcPr>
            <w:tcW w:type="dxa" w:w="1661"/>
          </w:tcPr>
          <w:p>
            <w:pPr>
              <w:pStyle w:val="null3"/>
            </w:pPr>
            <w:r>
              <w:rPr>
                <w:rFonts w:ascii="仿宋_GB2312" w:hAnsi="仿宋_GB2312" w:cs="仿宋_GB2312" w:eastAsia="仿宋_GB2312"/>
              </w:rPr>
              <w:t>服务条款响应偏离表（格式） 《拒绝政府采购领域商业贿赂承诺书》（格式） 承诺书（格式） 商务条款响应偏离表（格式） 资格证明文件 法定代表人授权委托书（格式） 《供应商参与政府采购活动的承诺函》（格式）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磋商响应文件应按照磋商文件的要求盖章签字。</w:t>
            </w:r>
          </w:p>
        </w:tc>
        <w:tc>
          <w:tcPr>
            <w:tcW w:type="dxa" w:w="1661"/>
          </w:tcPr>
          <w:p>
            <w:pPr>
              <w:pStyle w:val="null3"/>
            </w:pPr>
            <w:r>
              <w:rPr>
                <w:rFonts w:ascii="仿宋_GB2312" w:hAnsi="仿宋_GB2312" w:cs="仿宋_GB2312" w:eastAsia="仿宋_GB2312"/>
              </w:rPr>
              <w:t>响应文件封面 服务条款响应偏离表（格式） 《拒绝政府采购领域商业贿赂承诺书》（格式） 承诺书（格式） 商务条款响应偏离表（格式） 资格证明文件 标的清单 法定代表人授权委托书（格式） 报价表 响应函 《供应商参与政府采购活动的承诺函》（格式）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对磋商文件商务要求须作出明确且实质性响应。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服务条款响应偏离表（格式）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磋商响应文件不得含有采购人不能接受的附加条件。</w:t>
            </w:r>
          </w:p>
        </w:tc>
        <w:tc>
          <w:tcPr>
            <w:tcW w:type="dxa" w:w="1661"/>
          </w:tcPr>
          <w:p>
            <w:pPr>
              <w:pStyle w:val="null3"/>
            </w:pPr>
            <w:r>
              <w:rPr>
                <w:rFonts w:ascii="仿宋_GB2312" w:hAnsi="仿宋_GB2312" w:cs="仿宋_GB2312" w:eastAsia="仿宋_GB2312"/>
              </w:rPr>
              <w:t>供应商认为有必要说明的事宜（若有）</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供应商认为有必要说明的事宜（若有）</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评审得分相同的，按照最后报价由低到高的顺序推荐。评审得分且最后报价相同的，按照服务方案一优劣顺序推荐。评审得分且最后报价且服务方案一得分均相同的，成交候选供应商并列。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服务方案一</w:t>
            </w:r>
          </w:p>
        </w:tc>
        <w:tc>
          <w:tcPr>
            <w:tcW w:type="dxa" w:w="2492"/>
          </w:tcPr>
          <w:p>
            <w:pPr>
              <w:pStyle w:val="null3"/>
            </w:pPr>
            <w:r>
              <w:rPr>
                <w:rFonts w:ascii="仿宋_GB2312" w:hAnsi="仿宋_GB2312" w:cs="仿宋_GB2312" w:eastAsia="仿宋_GB2312"/>
              </w:rPr>
              <w:t>对本项目的理解和响应，包括但不限于对项目背景目标建设内容、方案设计工作范围、任务描述、方案设计总体思路、关键性技术问题的认识及施工配合方案等。 ①本项目服务内容及要求理解透彻，从业务和技术的角度出发，实施方案总体可行且科学、合理，详细、层次清楚，满足磋商文件、行业服务技术标准及国家有关政策和法律法规的要求，计12分； ②项目方案内容完整，但条理不清晰，计10分； ③项目方案内容只有框架但未针对各项内容进行详细描述或各项措施不具体的，计8分； ④针对以上方案要求，有1项欠缺或整体仅有粗略框架，无具体针对性内容的，计6分； ⑤有2项欠缺或方案出现常识性错误、存在不适用项目实际情况的情形的，计4分； ⑥有3-4项欠缺的计2分；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服务方案二</w:t>
            </w:r>
          </w:p>
        </w:tc>
        <w:tc>
          <w:tcPr>
            <w:tcW w:type="dxa" w:w="2492"/>
          </w:tcPr>
          <w:p>
            <w:pPr>
              <w:pStyle w:val="null3"/>
            </w:pPr>
            <w:r>
              <w:rPr>
                <w:rFonts w:ascii="仿宋_GB2312" w:hAnsi="仿宋_GB2312" w:cs="仿宋_GB2312" w:eastAsia="仿宋_GB2312"/>
              </w:rPr>
              <w:t>根据本项目的投资金额及主要建设内容，作出相应的配置设计方案： ①内容对本项目有建设性作用，资源配置合理且高效，能够最大化投资效益的，计12分； ②方案内容完整，但条理不清晰，计10分； ③项目方案内容只有框架但未针对各项内容进行详细描述或各项措施不具体的，计8分； ④针对以上方案要求，有1项欠缺或整体仅有粗略框架，无具体针对性内容的，计6分； ⑤方案出现常识性错误、存在不适用项目实际情况的情形的，计4分； ⑥未提供相关内容的不计分。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提出项目实施过程中存在的重点、难点分析。 ①内容对本项目有建设性作用，并提供相应解决措施及方案的，计8分； ②内容对本项目有建设性作用，但条理不清晰，计6分； ③内容只有框架但未针对各项内容进行详细描述或各项措施不具体的，计4分； ④有1项欠缺或方案出现常识性错误、存在不适用项目实际情况的情形的，计2分；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进度保证措施包括但不限于进度安排、对本项目的工作计划、工作阶段及任务划分、进度控制是否合理、关键时间节点把握是否科学准确、保障措施是否得当、以及组织管理等。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⑤有2项欠缺或方案出现常识性错误、存在不适用项目实际情况的情形的，计2分；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①方案详细全面、贴合项目情况、切实可行的，计8分； ②方案只有框架，无详细内容的或条理不清晰的，计6分； ③内容缺项的或只有简单概括的，计4分；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项目设计团队一</w:t>
            </w:r>
          </w:p>
        </w:tc>
        <w:tc>
          <w:tcPr>
            <w:tcW w:type="dxa" w:w="2492"/>
          </w:tcPr>
          <w:p>
            <w:pPr>
              <w:pStyle w:val="null3"/>
            </w:pPr>
            <w:r>
              <w:rPr>
                <w:rFonts w:ascii="仿宋_GB2312" w:hAnsi="仿宋_GB2312" w:cs="仿宋_GB2312" w:eastAsia="仿宋_GB2312"/>
              </w:rPr>
              <w:t>拟投入本项目团队组织架构、具体人员配置、资质背景、岗位工作流程、管理体系执行细则、项目负责人到场率承诺及保证承诺的措施等。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⑤有2项-3项欠缺或方案出现常识性错误、存在不适用项目实际情况的情形的，计2分； ⑥有4项及以上欠缺或未提供相关内容的均不计分。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项目设计团队二</w:t>
            </w:r>
          </w:p>
        </w:tc>
        <w:tc>
          <w:tcPr>
            <w:tcW w:type="dxa" w:w="2492"/>
          </w:tcPr>
          <w:p>
            <w:pPr>
              <w:pStyle w:val="null3"/>
            </w:pPr>
            <w:r>
              <w:rPr>
                <w:rFonts w:ascii="仿宋_GB2312" w:hAnsi="仿宋_GB2312" w:cs="仿宋_GB2312" w:eastAsia="仿宋_GB2312"/>
              </w:rPr>
              <w:t>拟派项目负责人具备注册结构工程师及以上，或高级工程师及以上执业资格，计2分。 注：拟派项目经理具备一级注册结构工程师及以上资质需在本单位注册，高级工程师及以上资质需为桥梁专业（或市政公用工程相关专业）且在本单位任职。）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项目设计团队三</w:t>
            </w:r>
          </w:p>
        </w:tc>
        <w:tc>
          <w:tcPr>
            <w:tcW w:type="dxa" w:w="2492"/>
          </w:tcPr>
          <w:p>
            <w:pPr>
              <w:pStyle w:val="null3"/>
            </w:pPr>
            <w:r>
              <w:rPr>
                <w:rFonts w:ascii="仿宋_GB2312" w:hAnsi="仿宋_GB2312" w:cs="仿宋_GB2312" w:eastAsia="仿宋_GB2312"/>
              </w:rPr>
              <w:t>除项目负责人外，投入本项目人员每提供一个结构工程师及相关专业中级职称及以上证书的得1分，计满2分为止。 注：须提供相关证书复印件加盖公章。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供应商提供近三年来（2022年12月1日至今）同类业绩，每提供1个业绩得2分，计满12分为止（提供完整合同或中标通知书复印件，以合同签订时间或中标通知书签发日期为准，未提供或者提供不完整不得分）。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具有相应的物力、人力保障，能够保证设计修改、深化设计服务、施工期间的设计服务、勘察服务质量、服务时间响应等的承诺及措施，明确工作开展期间及完成后配合采购人进行项目实施启动时的指导等。 ①内容详细全面、合理可行，响应及时、措施具体的，计6分； ②内容全面，但未针对各项内容进行详细描述的，计4分； ③承诺内容简单、响应时间不明确或措施不具体的，计2分； ④针对以上方案要求，有欠缺或无欠缺但仅有粗略框架，无具体针对性内容的计1分；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有效协助业主确保工程质量、控制工程规模、降低工程造价、减少设计变更等措施、后续服务工作安排及合理化建议。 ①内容详细全面、措施详细具体、完善可行的，计8分； ②方案内容全面，但未针对各项内容进行详细描述或各项措施不具体的，计6分； ③针对以上方案要求，有1项欠缺或整体仅有粗略框架，无具体针对性内容的，计4分； ④有2项欠缺或方案出现常识性错误、存在不适用项目实际情况的情形的，计2分；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详见附件：《供应商参与政府采购活动的承诺函》（格式）</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详见附件：服务条款响应偏离表（格式）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详见附件：法定代表人授权委托书（格式）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详见附件：同类业绩</w:t>
      </w:r>
    </w:p>
    <w:p>
      <w:pPr>
        <w:pStyle w:val="null3"/>
        <w:ind w:firstLine="960"/>
      </w:pPr>
      <w:r>
        <w:rPr>
          <w:rFonts w:ascii="仿宋_GB2312" w:hAnsi="仿宋_GB2312" w:cs="仿宋_GB2312" w:eastAsia="仿宋_GB2312"/>
        </w:rPr>
        <w:t>详见附件：项目设计团队</w:t>
      </w:r>
    </w:p>
    <w:p>
      <w:pPr>
        <w:pStyle w:val="null3"/>
        <w:ind w:firstLine="960"/>
      </w:pPr>
      <w:r>
        <w:rPr>
          <w:rFonts w:ascii="仿宋_GB2312" w:hAnsi="仿宋_GB2312" w:cs="仿宋_GB2312" w:eastAsia="仿宋_GB2312"/>
        </w:rPr>
        <w:t>详见附件：供应商认为有必要说明的事宜（若有）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详见附件：176合同.docx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