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版本号：SXJTZB-ZC-CS2025112720251203001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SXJTZB-ZC-CS20251127</w:t>
      </w:r>
      <w:r>
        <w:br/>
      </w:r>
      <w:r>
        <w:br/>
      </w:r>
      <w:r>
        <w:br/>
      </w:r>
    </w:p>
    <w:p>
      <w:pPr>
        <w:pStyle w:val="null3"/>
        <w:jc w:val="center"/>
        <w:outlineLvl w:val="2"/>
      </w:pPr>
      <w:r>
        <w:rPr>
          <w:rFonts w:ascii="仿宋_GB2312" w:hAnsi="仿宋_GB2312" w:cs="仿宋_GB2312" w:eastAsia="仿宋_GB2312"/>
          <w:sz w:val="28"/>
          <w:b/>
        </w:rPr>
        <w:t>西安市行政审批服务局</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西安市行政审批服务局</w:t>
      </w:r>
      <w:r>
        <w:rPr>
          <w:rFonts w:ascii="仿宋_GB2312" w:hAnsi="仿宋_GB2312" w:cs="仿宋_GB2312" w:eastAsia="仿宋_GB2312"/>
        </w:rPr>
        <w:t>委托，拟对</w:t>
      </w:r>
      <w:r>
        <w:rPr>
          <w:rFonts w:ascii="仿宋_GB2312" w:hAnsi="仿宋_GB2312" w:cs="仿宋_GB2312" w:eastAsia="仿宋_GB2312"/>
        </w:rPr>
        <w:t>信息监测项目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SXJTZB-ZC-CS20251127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严格落实意识形态责任制，进一步加强负面信息管理工作，拟实施“信息监测服务”项目，采购内容为全市行政审批和政务服务负面信息监测和处置，要求发现负面信息第一时间推送，并协调处置，每月月底出具本月信息监测报告，年底形成年终报告，实现负面信息监测响应速度进一步提升，处置能力进一步增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采购包1（西安市行政审批服务局信息监测服务项目）：属于专门面向中小企业采购。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张蓓蕾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029-86785234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张荷、段冬梅、曾小旦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代理服务费收费标准：按照国家计委关于印发《招标代理服务收费管理暂行办法的通知》（计价格[2002]1980号）的收费标准收取，不足伍仟按照伍仟元收取。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西安市行政审批服务局</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符合采购人相关要求标准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联系人：张荷、段冬梅、曾小旦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严格落实意识形态责任制，进一步加强信息管理工作，拟实施“信息监测服务”项目，采购内容为全市行政审批和政务服务信息监测和处置，要求发现负面信息第一时间推送，并协调处置，每月月底出具信息监测报告，年底形成年终报告，实现信息监测响应速度进一步提升，处置能力进一步增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100"/>
              <w:jc w:val="both"/>
            </w:pPr>
            <w:r>
              <w:rPr>
                <w:rFonts w:ascii="仿宋_GB2312" w:hAnsi="仿宋_GB2312" w:cs="仿宋_GB2312" w:eastAsia="仿宋_GB2312"/>
              </w:rPr>
              <w:t>1.</w:t>
            </w:r>
            <w:r>
              <w:rPr>
                <w:rFonts w:ascii="仿宋_GB2312" w:hAnsi="仿宋_GB2312" w:cs="仿宋_GB2312" w:eastAsia="仿宋_GB2312"/>
              </w:rPr>
              <w:t>为严格落实意识形态责任制，进一步加强信息管理工作，拟实施</w:t>
            </w:r>
            <w:r>
              <w:rPr>
                <w:rFonts w:ascii="仿宋_GB2312" w:hAnsi="仿宋_GB2312" w:cs="仿宋_GB2312" w:eastAsia="仿宋_GB2312"/>
              </w:rPr>
              <w:t>“信息监测服务”项目，采购内容为全市行政审批和政务服务信息监测和处置，要求发现负面信息第一时间推送，并协调处置，每月月底出具信息监测报告，年底形成年终报告，实现信息监测响应速度进一步提升，处置能力进一步增强。</w:t>
            </w:r>
          </w:p>
          <w:p>
            <w:pPr>
              <w:pStyle w:val="null3"/>
              <w:ind w:firstLine="100"/>
              <w:jc w:val="both"/>
            </w:pPr>
            <w:r>
              <w:rPr>
                <w:rFonts w:ascii="仿宋_GB2312" w:hAnsi="仿宋_GB2312" w:cs="仿宋_GB2312" w:eastAsia="仿宋_GB2312"/>
              </w:rPr>
              <w:t>2.服务期：一年</w:t>
            </w:r>
            <w:r>
              <w:rPr>
                <w:rFonts w:ascii="仿宋_GB2312" w:hAnsi="仿宋_GB2312" w:cs="仿宋_GB2312" w:eastAsia="仿宋_GB2312"/>
              </w:rPr>
              <w:t>，</w:t>
            </w:r>
          </w:p>
          <w:p>
            <w:pPr>
              <w:pStyle w:val="null3"/>
              <w:ind w:firstLine="100"/>
              <w:jc w:val="both"/>
            </w:pPr>
            <w:r>
              <w:rPr>
                <w:rFonts w:ascii="仿宋_GB2312" w:hAnsi="仿宋_GB2312" w:cs="仿宋_GB2312" w:eastAsia="仿宋_GB2312"/>
                <w:sz w:val="21"/>
              </w:rPr>
              <w:t>服务地点：采购人指定地点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详见服务要求内容及合同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详见服务要求内容及合同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详见服务要求内容及合同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根据西安市财政局《关于促进政府采购公平竞争优化营商环境的通知》（市财函[2021]431号）文中“第16条规定 投标人登记免费领取采购文件的，如不参与项目投标，应在递交投标（或相应）文件截止时间前一日以书面形式告知采购代理机构。否则，采购代理机构可以向财政部门反映情况并提供相应的佐证。投标人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度12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理解用户的应用需求、建设目标和原则。 1.需求理解全面、目标和原则理解透彻；得10分； 2.需求理解一般、目标和原则理解较透彻；得7分； 3.需求理解较差、目标和原则理解片面；得4分； 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根据供应商提供的服务方案进行综合评分：1.方案具有可行性，方案思路清晰，科学合理，表述真实一致，充分体现项目目标得20分； 2.方案具有一般可行性，方案思路明确，基本合理，表述真实，能够基本体现项目目标得15分； 3.方案具有基本可行性，方案思路较为明确，基本项目目标得5分； 4.未响应不得分。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进度保证措施、质量保证措施、安全保证措施、强制性标准等</w:t>
            </w:r>
          </w:p>
        </w:tc>
        <w:tc>
          <w:tcPr>
            <w:tcW w:type="dxa" w:w="2492"/>
          </w:tcPr>
          <w:p>
            <w:pPr>
              <w:pStyle w:val="null3"/>
            </w:pPr>
            <w:r>
              <w:rPr>
                <w:rFonts w:ascii="仿宋_GB2312" w:hAnsi="仿宋_GB2312" w:cs="仿宋_GB2312" w:eastAsia="仿宋_GB2312"/>
              </w:rPr>
              <w:t>进度保证措施、质量保证措施、安全保证措施、强制性标准等； 1.措施完整全面、科学合理，具有可行性得10分； 2.措施基本完整,具有基本可行性，得7分； 3.措施不完整，可行性不高得4分 ；4.未响应不得分。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数据分析方式</w:t>
            </w:r>
          </w:p>
        </w:tc>
        <w:tc>
          <w:tcPr>
            <w:tcW w:type="dxa" w:w="2492"/>
          </w:tcPr>
          <w:p>
            <w:pPr>
              <w:pStyle w:val="null3"/>
            </w:pPr>
            <w:r>
              <w:rPr>
                <w:rFonts w:ascii="仿宋_GB2312" w:hAnsi="仿宋_GB2312" w:cs="仿宋_GB2312" w:eastAsia="仿宋_GB2312"/>
              </w:rPr>
              <w:t>1.数据分析方式表述完整，思路清晰，科学、合理，得10分； 2.数据分析方式表述一般，思路基本清晰，得7分； 3.每项评审内容简单空泛，无针对性计4分；4.未响应不得分。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后期跟进服务能力</w:t>
            </w:r>
          </w:p>
        </w:tc>
        <w:tc>
          <w:tcPr>
            <w:tcW w:type="dxa" w:w="2492"/>
          </w:tcPr>
          <w:p>
            <w:pPr>
              <w:pStyle w:val="null3"/>
            </w:pPr>
            <w:r>
              <w:rPr>
                <w:rFonts w:ascii="仿宋_GB2312" w:hAnsi="仿宋_GB2312" w:cs="仿宋_GB2312" w:eastAsia="仿宋_GB2312"/>
              </w:rPr>
              <w:t>应商提供针对本项目的项目售后服务方案，包括：①系统维护服务及保障措施②售后咨询服务③技术更新服务。 评审标准：1.每项评审内容全面详细、阐述条理清晰详尽、符合本项目采购需求，能保障本项目实施得计5分；2.每项评审内容全面，内容基本合理但存在瑕疵计3分；3.每项评审内容简单空泛，无针对性计1分；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1、供应商提供信息安全管理体系认证证书得3分； 2、供应商提供第三方检测机构出具的软件产品登记测试报告得2分。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1.人员配备与管理方案岗位设置齐全，分工明确，团队成员经验丰富、主要岗位人员确保 全过程完成工作，得10分； 2.岗位设置基本齐全，分工基本明确，团队成员有一定经验,得7分； 3.岗位设置不齐全，分工不明确，团队成员无经验,得4分； 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服务团队每具有一个专业舆论信息分析师证书的得1分，最高得5分。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合理化建议及增值服务方案，1.全面详细、阐述条理清晰详尽、符合本项目采购需求，能保障本项目实施得计5分；2.每项评审内容全面，内容基本合理但存在瑕疵计3分；3.每项评审内容简单空泛，无针对性计1分；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供应商提供2021年1月至今（以合同签订日期为准），同类项目业绩，每个有效业绩得1分，满分10分（以合同为准，附在响应文件中）。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详见附件：合同格式（1203）.docx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