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版本号：HXTDJC2025181420251203001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2025年西安市市场监督管理局网格化指挥体系融合通信系统运维项目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HXTDJC20251814</w:t>
      </w:r>
      <w:r>
        <w:br/>
      </w:r>
      <w:r>
        <w:br/>
      </w:r>
      <w:r>
        <w:br/>
      </w:r>
    </w:p>
    <w:p>
      <w:pPr>
        <w:pStyle w:val="null3"/>
        <w:jc w:val="center"/>
        <w:outlineLvl w:val="2"/>
      </w:pPr>
      <w:r>
        <w:rPr>
          <w:rFonts w:ascii="仿宋_GB2312" w:hAnsi="仿宋_GB2312" w:cs="仿宋_GB2312" w:eastAsia="仿宋_GB2312"/>
          <w:sz w:val="28"/>
          <w:b/>
        </w:rPr>
        <w:t>西安市企业信息档案管理中心</w:t>
      </w:r>
    </w:p>
    <w:p>
      <w:pPr>
        <w:pStyle w:val="null3"/>
        <w:jc w:val="center"/>
        <w:outlineLvl w:val="2"/>
      </w:pPr>
      <w:r>
        <w:rPr>
          <w:rFonts w:ascii="仿宋_GB2312" w:hAnsi="仿宋_GB2312" w:cs="仿宋_GB2312" w:eastAsia="仿宋_GB2312"/>
          <w:sz w:val="28"/>
          <w:b/>
        </w:rPr>
        <w:t>陕西鸿信泰鼎建设项目管理有限公司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陕西鸿信泰鼎建设项目管理有限公司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西安市企业信息档案管理中心</w:t>
      </w:r>
      <w:r>
        <w:rPr>
          <w:rFonts w:ascii="仿宋_GB2312" w:hAnsi="仿宋_GB2312" w:cs="仿宋_GB2312" w:eastAsia="仿宋_GB2312"/>
        </w:rPr>
        <w:t>委托，拟对</w:t>
      </w:r>
      <w:r>
        <w:rPr>
          <w:rFonts w:ascii="仿宋_GB2312" w:hAnsi="仿宋_GB2312" w:cs="仿宋_GB2312" w:eastAsia="仿宋_GB2312"/>
        </w:rPr>
        <w:t>2025年西安市市场监督管理局网格化指挥体系融合通信系统运维项目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HXTDJC20251814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2025年西安市市场监督管理局网格化指挥体系融合通信系统运维项目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市场监督管理局网格化指挥体系融合通信系统在网格化指挥中发挥着至关重要的作用，它整合了语音、数据、视频等多种通信方式，提高了沟通效率和协作能力。本运维服务旨在确保融合通信系统的稳定运行，提供高质量的通信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采购包1（2025年西安市市场监督管理局网格化指挥体系融合通信系统运维项目）：属于专门面向中小企业采购。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主要负责人）委托代理人参加磋商时，应提供法定代表人（主要负责人）委托授权书；法定代表人（主要负责人）亲自参加磋商时，应提供法定代表人（主要负责人）身份证明书。</w:t>
      </w:r>
    </w:p>
    <w:p>
      <w:pPr>
        <w:pStyle w:val="null3"/>
      </w:pPr>
      <w:r>
        <w:rPr>
          <w:rFonts w:ascii="仿宋_GB2312" w:hAnsi="仿宋_GB2312" w:cs="仿宋_GB2312" w:eastAsia="仿宋_GB2312"/>
        </w:rPr>
        <w:t>2、信用记录：供应商未被列入“信用中国”（www.creditchina.gov.cn）记录的“严重失信主体名单”和“重大税收违法失信主体”名单；未被列入“中国政府采购网”（www.ccgp.gov.cn）中的“政府采购严重违法失信行为记录名单”。</w:t>
      </w:r>
    </w:p>
    <w:p>
      <w:pPr>
        <w:pStyle w:val="null3"/>
      </w:pPr>
      <w:r>
        <w:rPr>
          <w:rFonts w:ascii="仿宋_GB2312" w:hAnsi="仿宋_GB2312" w:cs="仿宋_GB2312" w:eastAsia="仿宋_GB2312"/>
        </w:rPr>
        <w:t>3、供应商不得存在下列情形之一：3.1单位负责人为同一人或者存在直接控股、管理关系的不同供应商不得参加同一合同项下的政府采购活动；3.2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西安市企业信息档案管理中心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西安市碑林区友谊东路298号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029-87823200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陕西鸿信泰鼎建设项目管理有限公司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西安市高新区沣惠南路18号唐沣国际广场D座13楼1301室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宜倩、方湖、房亚宁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029-89562775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采购包1：195,400.00元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或成交)服务费以中标（成交）价为基数，参照《招标代理服务收费管理暂行办法》计价格[2002]1980号文和发改价格[2011]534号文件规定标准收取，不足5000元的按5000元收取。由成交方向受托人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西安市企业信息档案管理中心</w:t>
      </w:r>
      <w:r>
        <w:rPr>
          <w:rFonts w:ascii="仿宋_GB2312" w:hAnsi="仿宋_GB2312" w:cs="仿宋_GB2312" w:eastAsia="仿宋_GB2312"/>
        </w:rPr>
        <w:t>和</w:t>
      </w:r>
      <w:r>
        <w:rPr>
          <w:rFonts w:ascii="仿宋_GB2312" w:hAnsi="仿宋_GB2312" w:cs="仿宋_GB2312" w:eastAsia="仿宋_GB2312"/>
        </w:rPr>
        <w:t>陕西鸿信泰鼎建设项目管理有限公司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西安市企业信息档案管理中心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陕西鸿信泰鼎建设项目管理有限公司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西安市企业信息档案管理中心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陕西鸿信泰鼎建设项目管理有限公司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符合采购文件要求及合同约定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陕西鸿信泰鼎建设项目管理有限公司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陕西鸿信泰鼎建设项目管理有限公司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陕西鸿信泰鼎建设项目管理有限公司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联系人：张海悦</w:t>
      </w:r>
    </w:p>
    <w:p>
      <w:pPr>
        <w:pStyle w:val="null3"/>
      </w:pPr>
      <w:r>
        <w:rPr>
          <w:rFonts w:ascii="仿宋_GB2312" w:hAnsi="仿宋_GB2312" w:cs="仿宋_GB2312" w:eastAsia="仿宋_GB2312"/>
        </w:rPr>
        <w:t>联系电话：029-89562775</w:t>
      </w:r>
    </w:p>
    <w:p>
      <w:pPr>
        <w:pStyle w:val="null3"/>
      </w:pPr>
      <w:r>
        <w:rPr>
          <w:rFonts w:ascii="仿宋_GB2312" w:hAnsi="仿宋_GB2312" w:cs="仿宋_GB2312" w:eastAsia="仿宋_GB2312"/>
        </w:rPr>
        <w:t>地址：书面材料送至西安市高新区沣惠南路唐沣国际广场D座13层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市场监督管理局网格化指挥体系融合通信系统在网格化指挥中发挥着至关重要的作用，它整合了语音、数据、视频等多种通信方式，提高了沟通效率和协作能力。本运维服务旨在确保融合通信系统的稳定运行，提供高质量的通信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195,400.00</w:t>
      </w:r>
    </w:p>
    <w:p>
      <w:pPr>
        <w:pStyle w:val="null3"/>
      </w:pPr>
      <w:r>
        <w:rPr>
          <w:rFonts w:ascii="仿宋_GB2312" w:hAnsi="仿宋_GB2312" w:cs="仿宋_GB2312" w:eastAsia="仿宋_GB2312"/>
        </w:rPr>
        <w:t>采购包最高限价（元）: 195,400.00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网格化指挥体系融合通信系统运维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195,400.00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标的名称：网格化指挥体系融合通信系统运维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第</w:t>
            </w:r>
            <w:r>
              <w:rPr>
                <w:rFonts w:ascii="仿宋_GB2312" w:hAnsi="仿宋_GB2312" w:cs="仿宋_GB2312" w:eastAsia="仿宋_GB2312"/>
                <w:b/>
              </w:rPr>
              <w:t>1章 项目概况</w:t>
            </w:r>
          </w:p>
          <w:p>
            <w:pPr>
              <w:pStyle w:val="null3"/>
            </w:pPr>
            <w:r>
              <w:rPr>
                <w:rFonts w:ascii="仿宋_GB2312" w:hAnsi="仿宋_GB2312" w:cs="仿宋_GB2312" w:eastAsia="仿宋_GB2312"/>
              </w:rPr>
              <w:t>1.1项目名称</w:t>
            </w:r>
          </w:p>
          <w:p>
            <w:pPr>
              <w:pStyle w:val="null3"/>
            </w:pPr>
            <w:r>
              <w:rPr>
                <w:rFonts w:ascii="仿宋_GB2312" w:hAnsi="仿宋_GB2312" w:cs="仿宋_GB2312" w:eastAsia="仿宋_GB2312"/>
              </w:rPr>
              <w:t>2025年西安市市场监督管理局网格化指挥体系融合通信系统运维项目</w:t>
            </w:r>
          </w:p>
          <w:p>
            <w:pPr>
              <w:pStyle w:val="null3"/>
            </w:pPr>
            <w:r>
              <w:rPr>
                <w:rFonts w:ascii="仿宋_GB2312" w:hAnsi="仿宋_GB2312" w:cs="仿宋_GB2312" w:eastAsia="仿宋_GB2312"/>
              </w:rPr>
              <w:t>1.2项目概述</w:t>
            </w:r>
          </w:p>
          <w:p>
            <w:pPr>
              <w:pStyle w:val="null3"/>
            </w:pPr>
            <w:r>
              <w:rPr>
                <w:rFonts w:ascii="仿宋_GB2312" w:hAnsi="仿宋_GB2312" w:cs="仿宋_GB2312" w:eastAsia="仿宋_GB2312"/>
              </w:rPr>
              <w:t>西安市市场监督管理局网格化指挥体系融合通信系统在网格化指挥中发挥着至关重要的作用，它整合了语音、数据、视频等多种通信方式，提高了沟通效率和协作能力。本运维服务旨在确保融合通信系统的稳定运行，提供高质量的通信服务。</w:t>
            </w:r>
          </w:p>
          <w:p>
            <w:pPr>
              <w:pStyle w:val="null3"/>
            </w:pPr>
            <w:r>
              <w:rPr>
                <w:rFonts w:ascii="仿宋_GB2312" w:hAnsi="仿宋_GB2312" w:cs="仿宋_GB2312" w:eastAsia="仿宋_GB2312"/>
              </w:rPr>
              <w:t>1.3项目预算</w:t>
            </w:r>
          </w:p>
          <w:p>
            <w:pPr>
              <w:pStyle w:val="null3"/>
            </w:pPr>
            <w:r>
              <w:rPr>
                <w:rFonts w:ascii="仿宋_GB2312" w:hAnsi="仿宋_GB2312" w:cs="仿宋_GB2312" w:eastAsia="仿宋_GB2312"/>
              </w:rPr>
              <w:t>项目预算</w:t>
            </w:r>
            <w:r>
              <w:rPr>
                <w:rFonts w:ascii="仿宋_GB2312" w:hAnsi="仿宋_GB2312" w:cs="仿宋_GB2312" w:eastAsia="仿宋_GB2312"/>
              </w:rPr>
              <w:t>19.54万元。</w:t>
            </w:r>
          </w:p>
          <w:p>
            <w:pPr>
              <w:pStyle w:val="null3"/>
            </w:pPr>
            <w:r>
              <w:rPr>
                <w:rFonts w:ascii="仿宋_GB2312" w:hAnsi="仿宋_GB2312" w:cs="仿宋_GB2312" w:eastAsia="仿宋_GB2312"/>
              </w:rPr>
              <w:t>1.4特定资质要求</w:t>
            </w:r>
          </w:p>
          <w:p>
            <w:pPr>
              <w:pStyle w:val="null3"/>
            </w:pPr>
            <w:r>
              <w:rPr>
                <w:rFonts w:ascii="仿宋_GB2312" w:hAnsi="仿宋_GB2312" w:cs="仿宋_GB2312" w:eastAsia="仿宋_GB2312"/>
              </w:rPr>
              <w:t>无特定资质要求。</w:t>
            </w:r>
          </w:p>
          <w:p>
            <w:pPr>
              <w:pStyle w:val="null3"/>
            </w:pPr>
            <w:r>
              <w:rPr>
                <w:rFonts w:ascii="仿宋_GB2312" w:hAnsi="仿宋_GB2312" w:cs="仿宋_GB2312" w:eastAsia="仿宋_GB2312"/>
              </w:rPr>
              <w:t>1.5是否专门面向中小企业</w:t>
            </w:r>
          </w:p>
          <w:p>
            <w:pPr>
              <w:pStyle w:val="null3"/>
            </w:pPr>
            <w:r>
              <w:rPr>
                <w:rFonts w:ascii="仿宋_GB2312" w:hAnsi="仿宋_GB2312" w:cs="仿宋_GB2312" w:eastAsia="仿宋_GB2312"/>
              </w:rPr>
              <w:t>是</w:t>
            </w:r>
          </w:p>
          <w:p>
            <w:pPr>
              <w:pStyle w:val="null3"/>
            </w:pPr>
            <w:r>
              <w:rPr>
                <w:rFonts w:ascii="仿宋_GB2312" w:hAnsi="仿宋_GB2312" w:cs="仿宋_GB2312" w:eastAsia="仿宋_GB2312"/>
              </w:rPr>
              <w:t>1.6项目维护服务的内容、预期目标</w:t>
            </w:r>
          </w:p>
          <w:p>
            <w:pPr>
              <w:pStyle w:val="null3"/>
            </w:pPr>
            <w:r>
              <w:rPr>
                <w:rFonts w:ascii="仿宋_GB2312" w:hAnsi="仿宋_GB2312" w:cs="仿宋_GB2312" w:eastAsia="仿宋_GB2312"/>
              </w:rPr>
              <w:t>为确保西安市市场监督管理局网格化指挥体系融合通信系统能够稳定运行，提供一年的系统运维服务，主要涵盖</w:t>
            </w:r>
            <w:r>
              <w:rPr>
                <w:rFonts w:ascii="仿宋_GB2312" w:hAnsi="仿宋_GB2312" w:cs="仿宋_GB2312" w:eastAsia="仿宋_GB2312"/>
              </w:rPr>
              <w:t>软件运维、硬件运维和安全运维三个方面。</w:t>
            </w:r>
          </w:p>
          <w:p>
            <w:pPr>
              <w:pStyle w:val="null3"/>
            </w:pPr>
            <w:r>
              <w:rPr>
                <w:rFonts w:ascii="仿宋_GB2312" w:hAnsi="仿宋_GB2312" w:cs="仿宋_GB2312" w:eastAsia="仿宋_GB2312"/>
              </w:rPr>
              <w:t>项目运维服务内容详见下表，工作量也不得小于下表要求。</w:t>
            </w:r>
          </w:p>
          <w:tbl>
            <w:tblPr>
              <w:tblBorders>
                <w:top w:val="none" w:color="000000" w:sz="4"/>
                <w:left w:val="none" w:color="000000" w:sz="4"/>
                <w:bottom w:val="none" w:color="000000" w:sz="4"/>
                <w:right w:val="none" w:color="000000" w:sz="4"/>
                <w:insideH w:val="none"/>
                <w:insideV w:val="none"/>
              </w:tblBorders>
            </w:tblPr>
            <w:tblGrid>
              <w:gridCol w:w="307"/>
              <w:gridCol w:w="528"/>
              <w:gridCol w:w="1191"/>
              <w:gridCol w:w="528"/>
            </w:tblGrid>
            <w:tr>
              <w:tc>
                <w:tcPr>
                  <w:tcW w:type="dxa" w:w="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71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服务内容</w:t>
                  </w:r>
                </w:p>
              </w:tc>
              <w:tc>
                <w:tcPr>
                  <w:tcW w:type="dxa" w:w="5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工作量（人月）</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2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软件运维</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软件巡检</w:t>
                  </w:r>
                </w:p>
              </w:tc>
              <w:tc>
                <w:tcPr>
                  <w:tcW w:type="dxa" w:w="528"/>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28"/>
                  <w:vMerge/>
                  <w:tcBorders>
                    <w:top w:val="none" w:color="000000" w:sz="4"/>
                    <w:left w:val="none" w:color="000000" w:sz="4"/>
                    <w:bottom w:val="non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数据库巡检</w:t>
                  </w:r>
                </w:p>
              </w:tc>
              <w:tc>
                <w:tcPr>
                  <w:tcW w:type="dxa" w:w="528"/>
                  <w:vMerge/>
                  <w:tcBorders>
                    <w:top w:val="single" w:color="000000" w:sz="4"/>
                    <w:left w:val="none" w:color="000000" w:sz="4"/>
                    <w:bottom w:val="none" w:color="000000" w:sz="4"/>
                    <w:right w:val="single" w:color="000000" w:sz="4"/>
                  </w:tcBorders>
                </w:tc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28"/>
                  <w:vMerge/>
                  <w:tcBorders>
                    <w:top w:val="none" w:color="000000" w:sz="4"/>
                    <w:left w:val="none" w:color="000000" w:sz="4"/>
                    <w:bottom w:val="non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其他巡检</w:t>
                  </w:r>
                </w:p>
              </w:tc>
              <w:tc>
                <w:tcPr>
                  <w:tcW w:type="dxa" w:w="528"/>
                  <w:vMerge/>
                  <w:tcBorders>
                    <w:top w:val="single" w:color="000000" w:sz="4"/>
                    <w:left w:val="none" w:color="000000" w:sz="4"/>
                    <w:bottom w:val="none" w:color="000000" w:sz="4"/>
                    <w:right w:val="single" w:color="000000" w:sz="4"/>
                  </w:tcBorders>
                </w:tc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硬件运维</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硬件质保</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12个月</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2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安全运维</w:t>
                  </w: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安全监控与响应</w:t>
                  </w:r>
                </w:p>
              </w:tc>
              <w:tc>
                <w:tcPr>
                  <w:tcW w:type="dxa" w:w="52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28"/>
                  <w:vMerge/>
                  <w:tcBorders>
                    <w:top w:val="none" w:color="000000" w:sz="4"/>
                    <w:left w:val="none" w:color="000000" w:sz="4"/>
                    <w:bottom w:val="non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安全风险评估与控制</w:t>
                  </w:r>
                </w:p>
              </w:tc>
              <w:tc>
                <w:tcPr>
                  <w:tcW w:type="dxa" w:w="528"/>
                  <w:vMerge/>
                  <w:tcBorders>
                    <w:top w:val="none" w:color="000000" w:sz="4"/>
                    <w:left w:val="none" w:color="000000" w:sz="4"/>
                    <w:bottom w:val="none" w:color="000000" w:sz="4"/>
                    <w:right w:val="single" w:color="000000" w:sz="4"/>
                  </w:tcBorders>
                </w:tc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28"/>
                  <w:vMerge/>
                  <w:tcBorders>
                    <w:top w:val="none" w:color="000000" w:sz="4"/>
                    <w:left w:val="none" w:color="000000" w:sz="4"/>
                    <w:bottom w:val="non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安全漏洞检测与修复</w:t>
                  </w:r>
                </w:p>
              </w:tc>
              <w:tc>
                <w:tcPr>
                  <w:tcW w:type="dxa" w:w="528"/>
                  <w:vMerge/>
                  <w:tcBorders>
                    <w:top w:val="none" w:color="000000" w:sz="4"/>
                    <w:left w:val="none" w:color="000000" w:sz="4"/>
                    <w:bottom w:val="none" w:color="000000" w:sz="4"/>
                    <w:right w:val="single" w:color="000000" w:sz="4"/>
                  </w:tcBorders>
                </w:tc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28"/>
                  <w:vMerge/>
                  <w:tcBorders>
                    <w:top w:val="none" w:color="000000" w:sz="4"/>
                    <w:left w:val="none" w:color="000000" w:sz="4"/>
                    <w:bottom w:val="non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安全配置管理</w:t>
                  </w:r>
                </w:p>
              </w:tc>
              <w:tc>
                <w:tcPr>
                  <w:tcW w:type="dxa" w:w="528"/>
                  <w:vMerge/>
                  <w:tcBorders>
                    <w:top w:val="none" w:color="000000" w:sz="4"/>
                    <w:left w:val="none" w:color="000000" w:sz="4"/>
                    <w:bottom w:val="none" w:color="000000" w:sz="4"/>
                    <w:right w:val="single" w:color="000000" w:sz="4"/>
                  </w:tcBorders>
                </w:tcP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528"/>
                  <w:vMerge/>
                  <w:tcBorders>
                    <w:top w:val="none" w:color="000000" w:sz="4"/>
                    <w:left w:val="none" w:color="000000" w:sz="4"/>
                    <w:bottom w:val="none" w:color="000000" w:sz="4"/>
                    <w:right w:val="single" w:color="000000" w:sz="4"/>
                  </w:tcBorders>
                </w:tc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用户访问控制和身份管理</w:t>
                  </w:r>
                </w:p>
              </w:tc>
              <w:tc>
                <w:tcPr>
                  <w:tcW w:type="dxa" w:w="528"/>
                  <w:vMerge/>
                  <w:tcBorders>
                    <w:top w:val="none" w:color="000000" w:sz="4"/>
                    <w:left w:val="none" w:color="000000" w:sz="4"/>
                    <w:bottom w:val="none" w:color="000000" w:sz="4"/>
                    <w:right w:val="single" w:color="000000" w:sz="4"/>
                  </w:tcBorders>
                </w:tcPr>
                <w:p/>
              </w:tc>
            </w:tr>
          </w:tbl>
          <w:p>
            <w:pPr>
              <w:pStyle w:val="null3"/>
            </w:pPr>
            <w:r>
              <w:rPr>
                <w:rFonts w:ascii="仿宋_GB2312" w:hAnsi="仿宋_GB2312" w:cs="仿宋_GB2312" w:eastAsia="仿宋_GB2312"/>
              </w:rPr>
              <w:t>1.7运维周期</w:t>
            </w:r>
          </w:p>
          <w:p>
            <w:pPr>
              <w:pStyle w:val="null3"/>
            </w:pPr>
            <w:r>
              <w:rPr>
                <w:rFonts w:ascii="仿宋_GB2312" w:hAnsi="仿宋_GB2312" w:cs="仿宋_GB2312" w:eastAsia="仿宋_GB2312"/>
              </w:rPr>
              <w:t>运维周期</w:t>
            </w:r>
            <w:r>
              <w:rPr>
                <w:rFonts w:ascii="仿宋_GB2312" w:hAnsi="仿宋_GB2312" w:cs="仿宋_GB2312" w:eastAsia="仿宋_GB2312"/>
              </w:rPr>
              <w:t>12个月。</w:t>
            </w:r>
          </w:p>
          <w:p>
            <w:pPr>
              <w:pStyle w:val="null3"/>
            </w:pPr>
            <w:r>
              <w:rPr>
                <w:rFonts w:ascii="仿宋_GB2312" w:hAnsi="仿宋_GB2312" w:cs="仿宋_GB2312" w:eastAsia="仿宋_GB2312"/>
              </w:rPr>
              <w:t>1.8项目运维对象基本情况</w:t>
            </w:r>
          </w:p>
          <w:p>
            <w:pPr>
              <w:pStyle w:val="null3"/>
            </w:pPr>
            <w:r>
              <w:rPr>
                <w:rFonts w:ascii="仿宋_GB2312" w:hAnsi="仿宋_GB2312" w:cs="仿宋_GB2312" w:eastAsia="仿宋_GB2312"/>
              </w:rPr>
              <w:t>西安市市场监督管理局网格化指挥体系融合通信系统项目是整合市场监督管理局通信手段，实现跨平台、跨部门的互联互通和资源共享，建设内容包含软件部分和硬件部分。</w:t>
            </w:r>
          </w:p>
          <w:p>
            <w:pPr>
              <w:pStyle w:val="null3"/>
            </w:pPr>
            <w:r>
              <w:rPr>
                <w:rFonts w:ascii="仿宋_GB2312" w:hAnsi="仿宋_GB2312" w:cs="仿宋_GB2312" w:eastAsia="仿宋_GB2312"/>
              </w:rPr>
              <w:t>1.8.1软件</w:t>
            </w:r>
            <w:r>
              <w:rPr>
                <w:rFonts w:ascii="仿宋_GB2312" w:hAnsi="仿宋_GB2312" w:cs="仿宋_GB2312" w:eastAsia="仿宋_GB2312"/>
              </w:rPr>
              <w:t>情况</w:t>
            </w:r>
          </w:p>
          <w:p>
            <w:pPr>
              <w:pStyle w:val="null3"/>
            </w:pPr>
            <w:r>
              <w:rPr>
                <w:rFonts w:ascii="仿宋_GB2312" w:hAnsi="仿宋_GB2312" w:cs="仿宋_GB2312" w:eastAsia="仿宋_GB2312"/>
              </w:rPr>
              <w:t>西安市市场监督管理局网格化指挥体系融合通信系统软件主要建设了一套支持市局、管理片区、管理单元、管理网格四级管理体系指挥调度的系统，满足各级指挥中心可以调度各级机构、人员等角色开展日常通信功能，以及在发生突发事件时的指挥调度功能，具备视频查看、通信调度、协同通讯和应急广播等功能，为全局网格化管理提供统一的融合通信能力。应用系统建设包含成品软件音视频融合功能，定制软件融合通信系统基础功能、事件接报、通信调度和移动服务功能，满足不同场景下的音视频融合调度功能。</w:t>
            </w:r>
          </w:p>
          <w:p>
            <w:pPr>
              <w:pStyle w:val="null3"/>
            </w:pPr>
            <w:r>
              <w:rPr>
                <w:rFonts w:ascii="仿宋_GB2312" w:hAnsi="仿宋_GB2312" w:cs="仿宋_GB2312" w:eastAsia="仿宋_GB2312"/>
              </w:rPr>
              <w:t>1.8.2硬件</w:t>
            </w:r>
            <w:r>
              <w:rPr>
                <w:rFonts w:ascii="仿宋_GB2312" w:hAnsi="仿宋_GB2312" w:cs="仿宋_GB2312" w:eastAsia="仿宋_GB2312"/>
              </w:rPr>
              <w:t>情况</w:t>
            </w:r>
          </w:p>
          <w:p>
            <w:pPr>
              <w:pStyle w:val="null3"/>
            </w:pPr>
            <w:r>
              <w:rPr>
                <w:rFonts w:ascii="仿宋_GB2312" w:hAnsi="仿宋_GB2312" w:cs="仿宋_GB2312" w:eastAsia="仿宋_GB2312"/>
              </w:rPr>
              <w:t>西安市市场监督管理局网格化指挥体系融合通信系统为西安市市场监督管理局智慧市监网格化管理平台提供市局、管理片区（区县局、直属分局）、管理单元（监管所）、管理网格硬件支撑，具体硬件清单信息如下：</w:t>
            </w:r>
          </w:p>
          <w:tbl>
            <w:tblPr>
              <w:tblBorders>
                <w:top w:val="none" w:color="000000" w:sz="4"/>
                <w:left w:val="none" w:color="000000" w:sz="4"/>
                <w:bottom w:val="none" w:color="000000" w:sz="4"/>
                <w:right w:val="none" w:color="000000" w:sz="4"/>
                <w:insideH w:val="none"/>
                <w:insideV w:val="none"/>
              </w:tblBorders>
            </w:tblPr>
            <w:tblGrid>
              <w:gridCol w:w="394"/>
              <w:gridCol w:w="1174"/>
              <w:gridCol w:w="492"/>
              <w:gridCol w:w="492"/>
            </w:tblGrid>
            <w:tr>
              <w:tc>
                <w:tcPr>
                  <w:tcW w:type="dxa" w:w="39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117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名称</w:t>
                  </w:r>
                </w:p>
              </w:tc>
              <w:tc>
                <w:tcPr>
                  <w:tcW w:type="dxa" w:w="49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单位</w:t>
                  </w:r>
                </w:p>
              </w:tc>
              <w:tc>
                <w:tcPr>
                  <w:tcW w:type="dxa" w:w="49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数量</w:t>
                  </w:r>
                </w:p>
              </w:tc>
            </w:tr>
            <w:tr>
              <w:tc>
                <w:tcPr>
                  <w:tcW w:type="dxa" w:w="2552"/>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指挥中心设施</w:t>
                  </w:r>
                </w:p>
              </w:tc>
            </w:tr>
            <w:tr>
              <w:tc>
                <w:tcPr>
                  <w:tcW w:type="dxa" w:w="3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17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视频语音控制器</w:t>
                  </w:r>
                </w:p>
              </w:tc>
              <w:tc>
                <w:tcPr>
                  <w:tcW w:type="dxa" w:w="49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49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11</w:t>
                  </w:r>
                </w:p>
              </w:tc>
            </w:tr>
            <w:tr>
              <w:tc>
                <w:tcPr>
                  <w:tcW w:type="dxa" w:w="3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11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无线一拖二鹅颈话筒</w:t>
                  </w:r>
                </w:p>
              </w:tc>
              <w:tc>
                <w:tcPr>
                  <w:tcW w:type="dxa" w:w="4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4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11</w:t>
                  </w:r>
                </w:p>
              </w:tc>
            </w:tr>
            <w:tr>
              <w:tc>
                <w:tcPr>
                  <w:tcW w:type="dxa" w:w="3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11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音响</w:t>
                  </w:r>
                </w:p>
              </w:tc>
              <w:tc>
                <w:tcPr>
                  <w:tcW w:type="dxa" w:w="4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4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11</w:t>
                  </w:r>
                </w:p>
              </w:tc>
            </w:tr>
            <w:tr>
              <w:tc>
                <w:tcPr>
                  <w:tcW w:type="dxa" w:w="3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11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双屏调度台</w:t>
                  </w:r>
                </w:p>
              </w:tc>
              <w:tc>
                <w:tcPr>
                  <w:tcW w:type="dxa" w:w="4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4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3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11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单屏调度台</w:t>
                  </w:r>
                </w:p>
              </w:tc>
              <w:tc>
                <w:tcPr>
                  <w:tcW w:type="dxa" w:w="4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4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r>
            <w:tr>
              <w:tc>
                <w:tcPr>
                  <w:tcW w:type="dxa" w:w="2552"/>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应用支撑设施</w:t>
                  </w:r>
                </w:p>
              </w:tc>
            </w:tr>
            <w:tr>
              <w:tc>
                <w:tcPr>
                  <w:tcW w:type="dxa" w:w="3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17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融合通信一体机</w:t>
                  </w:r>
                </w:p>
              </w:tc>
              <w:tc>
                <w:tcPr>
                  <w:tcW w:type="dxa" w:w="49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套</w:t>
                  </w:r>
                </w:p>
              </w:tc>
              <w:tc>
                <w:tcPr>
                  <w:tcW w:type="dxa" w:w="49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3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11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数字中继</w:t>
                  </w:r>
                </w:p>
              </w:tc>
              <w:tc>
                <w:tcPr>
                  <w:tcW w:type="dxa" w:w="4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套</w:t>
                  </w:r>
                </w:p>
              </w:tc>
              <w:tc>
                <w:tcPr>
                  <w:tcW w:type="dxa" w:w="4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3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11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集群音频接入</w:t>
                  </w:r>
                </w:p>
              </w:tc>
              <w:tc>
                <w:tcPr>
                  <w:tcW w:type="dxa" w:w="4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套</w:t>
                  </w:r>
                </w:p>
              </w:tc>
              <w:tc>
                <w:tcPr>
                  <w:tcW w:type="dxa" w:w="4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3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11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音视频通讯模块</w:t>
                  </w:r>
                </w:p>
              </w:tc>
              <w:tc>
                <w:tcPr>
                  <w:tcW w:type="dxa" w:w="4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套</w:t>
                  </w:r>
                </w:p>
              </w:tc>
              <w:tc>
                <w:tcPr>
                  <w:tcW w:type="dxa" w:w="4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2552"/>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系统运行服务设施</w:t>
                  </w:r>
                </w:p>
              </w:tc>
            </w:tr>
            <w:tr>
              <w:tc>
                <w:tcPr>
                  <w:tcW w:type="dxa" w:w="3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17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存储服务器</w:t>
                  </w:r>
                </w:p>
              </w:tc>
              <w:tc>
                <w:tcPr>
                  <w:tcW w:type="dxa" w:w="49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49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3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11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硬盘</w:t>
                  </w:r>
                </w:p>
              </w:tc>
              <w:tc>
                <w:tcPr>
                  <w:tcW w:type="dxa" w:w="4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块</w:t>
                  </w:r>
                </w:p>
              </w:tc>
              <w:tc>
                <w:tcPr>
                  <w:tcW w:type="dxa" w:w="4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10</w:t>
                  </w:r>
                </w:p>
              </w:tc>
            </w:tr>
            <w:tr>
              <w:tc>
                <w:tcPr>
                  <w:tcW w:type="dxa" w:w="3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11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管理服务器</w:t>
                  </w:r>
                </w:p>
              </w:tc>
              <w:tc>
                <w:tcPr>
                  <w:tcW w:type="dxa" w:w="4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4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bl>
          <w:p>
            <w:pPr>
              <w:pStyle w:val="null3"/>
            </w:pPr>
            <w:r>
              <w:rPr>
                <w:rFonts w:ascii="仿宋_GB2312" w:hAnsi="仿宋_GB2312" w:cs="仿宋_GB2312" w:eastAsia="仿宋_GB2312"/>
                <w:b/>
              </w:rPr>
              <w:t>第</w:t>
            </w:r>
            <w:r>
              <w:rPr>
                <w:rFonts w:ascii="仿宋_GB2312" w:hAnsi="仿宋_GB2312" w:cs="仿宋_GB2312" w:eastAsia="仿宋_GB2312"/>
                <w:b/>
              </w:rPr>
              <w:t>2章 运维服务内容</w:t>
            </w:r>
          </w:p>
          <w:p>
            <w:pPr>
              <w:pStyle w:val="null3"/>
            </w:pPr>
            <w:r>
              <w:rPr>
                <w:rFonts w:ascii="仿宋_GB2312" w:hAnsi="仿宋_GB2312" w:cs="仿宋_GB2312" w:eastAsia="仿宋_GB2312"/>
              </w:rPr>
              <w:t>2.1软件运维</w:t>
            </w:r>
          </w:p>
          <w:p>
            <w:pPr>
              <w:pStyle w:val="null3"/>
            </w:pPr>
            <w:r>
              <w:rPr>
                <w:rFonts w:ascii="仿宋_GB2312" w:hAnsi="仿宋_GB2312" w:cs="仿宋_GB2312" w:eastAsia="仿宋_GB2312"/>
              </w:rPr>
              <w:t>在本项目服务期内，由</w:t>
            </w:r>
            <w:r>
              <w:rPr>
                <w:rFonts w:ascii="仿宋_GB2312" w:hAnsi="仿宋_GB2312" w:cs="仿宋_GB2312" w:eastAsia="仿宋_GB2312"/>
              </w:rPr>
              <w:t>1名驻场运维工程师提供5*8小时的技术支持和服务，负责实时监控软件的运行状态，及时发现并解决可能出现的技术问题，确保系统软件的高效和稳定。</w:t>
            </w:r>
          </w:p>
          <w:p>
            <w:pPr>
              <w:pStyle w:val="null3"/>
            </w:pPr>
            <w:r>
              <w:rPr>
                <w:rFonts w:ascii="仿宋_GB2312" w:hAnsi="仿宋_GB2312" w:cs="仿宋_GB2312" w:eastAsia="仿宋_GB2312"/>
              </w:rPr>
              <w:t>2.1.1软件巡检</w:t>
            </w:r>
          </w:p>
          <w:p>
            <w:pPr>
              <w:pStyle w:val="null3"/>
            </w:pPr>
            <w:r>
              <w:rPr>
                <w:rFonts w:ascii="仿宋_GB2312" w:hAnsi="仿宋_GB2312" w:cs="仿宋_GB2312" w:eastAsia="仿宋_GB2312"/>
              </w:rPr>
              <w:t>为保障西安市市场监督管理局网格化指挥体系融合通信系统软件保持日常的稳定运行，驻场运维工程师每月开展一次融合通信系统软件月度检测工作，全面诊断分析系统健康状况，提前发现系统风险隐患，避免业务损失，并根据巡检情况总结，将软件巡检内容编制纳入融合通信系统月度巡检工作报告及年度运维服务工作报告。</w:t>
            </w:r>
          </w:p>
          <w:p>
            <w:pPr>
              <w:pStyle w:val="null3"/>
            </w:pPr>
            <w:r>
              <w:rPr>
                <w:rFonts w:ascii="仿宋_GB2312" w:hAnsi="仿宋_GB2312" w:cs="仿宋_GB2312" w:eastAsia="仿宋_GB2312"/>
              </w:rPr>
              <w:t>2.1.2数据库巡检</w:t>
            </w:r>
          </w:p>
          <w:p>
            <w:pPr>
              <w:pStyle w:val="null3"/>
            </w:pPr>
            <w:r>
              <w:rPr>
                <w:rFonts w:ascii="仿宋_GB2312" w:hAnsi="仿宋_GB2312" w:cs="仿宋_GB2312" w:eastAsia="仿宋_GB2312"/>
              </w:rPr>
              <w:t>数据库作为西安市市场监督管理局网格化指挥体系融合通信系统的重要组成部分，为保障融合通信系统数据库保持日常的稳定运行，驻场运维工程师每月开展一次融合通信系统数据库月度检测工作，全面诊断分析系统健康状况，提前发现系统风险隐患，避免业务损失，并根据巡检情况总结，将数据库巡检内容编制纳入融合通信系统月度巡检工作报告及年度运维服务工作报告。</w:t>
            </w:r>
          </w:p>
          <w:p>
            <w:pPr>
              <w:pStyle w:val="null3"/>
            </w:pPr>
            <w:r>
              <w:rPr>
                <w:rFonts w:ascii="仿宋_GB2312" w:hAnsi="仿宋_GB2312" w:cs="仿宋_GB2312" w:eastAsia="仿宋_GB2312"/>
              </w:rPr>
              <w:t>2.1.3其他巡检</w:t>
            </w:r>
          </w:p>
          <w:p>
            <w:pPr>
              <w:pStyle w:val="null3"/>
            </w:pPr>
            <w:r>
              <w:rPr>
                <w:rFonts w:ascii="仿宋_GB2312" w:hAnsi="仿宋_GB2312" w:cs="仿宋_GB2312" w:eastAsia="仿宋_GB2312"/>
              </w:rPr>
              <w:t>驻场运维工程师每月开展一次融合通信服务器操作系统、中间件的月度检测工作，全面诊断分析系统健康状况，提前发现系统风险隐患，避免业务损失，保障融合通信系统服务器操作系统、中间件保持日常的稳定运行，并根据巡检情况总结，将服务器操作系统、中间件等巡检内容编制纳入融合通信系统月度巡检工作报告及年度运维服务工作报告。</w:t>
            </w:r>
          </w:p>
          <w:p>
            <w:pPr>
              <w:pStyle w:val="null3"/>
            </w:pPr>
            <w:r>
              <w:rPr>
                <w:rFonts w:ascii="仿宋_GB2312" w:hAnsi="仿宋_GB2312" w:cs="仿宋_GB2312" w:eastAsia="仿宋_GB2312"/>
              </w:rPr>
              <w:t>2.1.4响应机制</w:t>
            </w:r>
          </w:p>
          <w:p>
            <w:pPr>
              <w:pStyle w:val="null3"/>
            </w:pPr>
            <w:r>
              <w:rPr>
                <w:rFonts w:ascii="仿宋_GB2312" w:hAnsi="仿宋_GB2312" w:cs="仿宋_GB2312" w:eastAsia="仿宋_GB2312"/>
              </w:rPr>
              <w:t>重保以及应急保障：如遇到节假日、突发情况、重保期间，提供</w:t>
            </w:r>
            <w:r>
              <w:rPr>
                <w:rFonts w:ascii="仿宋_GB2312" w:hAnsi="仿宋_GB2312" w:cs="仿宋_GB2312" w:eastAsia="仿宋_GB2312"/>
              </w:rPr>
              <w:t>24小时响应以及节假日重保应急方案。</w:t>
            </w:r>
          </w:p>
          <w:p>
            <w:pPr>
              <w:pStyle w:val="null3"/>
            </w:pPr>
            <w:r>
              <w:rPr>
                <w:rFonts w:ascii="仿宋_GB2312" w:hAnsi="仿宋_GB2312" w:cs="仿宋_GB2312" w:eastAsia="仿宋_GB2312"/>
              </w:rPr>
              <w:t>1.提前规划</w:t>
            </w:r>
          </w:p>
          <w:p>
            <w:pPr>
              <w:pStyle w:val="null3"/>
            </w:pPr>
            <w:r>
              <w:rPr>
                <w:rFonts w:ascii="仿宋_GB2312" w:hAnsi="仿宋_GB2312" w:cs="仿宋_GB2312" w:eastAsia="仿宋_GB2312"/>
              </w:rPr>
              <w:t>在节假日之前，提前进行规划，包括确定值班人员、制定值班计划、以及备份和恢复策略等。</w:t>
            </w:r>
          </w:p>
          <w:p>
            <w:pPr>
              <w:pStyle w:val="null3"/>
            </w:pPr>
            <w:r>
              <w:rPr>
                <w:rFonts w:ascii="仿宋_GB2312" w:hAnsi="仿宋_GB2312" w:cs="仿宋_GB2312" w:eastAsia="仿宋_GB2312"/>
              </w:rPr>
              <w:t>2.实时监控</w:t>
            </w:r>
          </w:p>
          <w:p>
            <w:pPr>
              <w:pStyle w:val="null3"/>
            </w:pPr>
            <w:r>
              <w:rPr>
                <w:rFonts w:ascii="仿宋_GB2312" w:hAnsi="仿宋_GB2312" w:cs="仿宋_GB2312" w:eastAsia="仿宋_GB2312"/>
              </w:rPr>
              <w:t>在节假日期间，加强实时监控，确保系统的稳定性和安全性。</w:t>
            </w:r>
          </w:p>
          <w:p>
            <w:pPr>
              <w:pStyle w:val="null3"/>
            </w:pPr>
            <w:r>
              <w:rPr>
                <w:rFonts w:ascii="仿宋_GB2312" w:hAnsi="仿宋_GB2312" w:cs="仿宋_GB2312" w:eastAsia="仿宋_GB2312"/>
              </w:rPr>
              <w:t>3.快速响应</w:t>
            </w:r>
          </w:p>
          <w:p>
            <w:pPr>
              <w:pStyle w:val="null3"/>
            </w:pPr>
            <w:r>
              <w:rPr>
                <w:rFonts w:ascii="仿宋_GB2312" w:hAnsi="仿宋_GB2312" w:cs="仿宋_GB2312" w:eastAsia="仿宋_GB2312"/>
              </w:rPr>
              <w:t>建立快速响应机制，一旦发现问题或故障，能够迅速定位并采取相应的措施进行处理。</w:t>
            </w:r>
          </w:p>
          <w:p>
            <w:pPr>
              <w:pStyle w:val="null3"/>
            </w:pPr>
            <w:r>
              <w:rPr>
                <w:rFonts w:ascii="仿宋_GB2312" w:hAnsi="仿宋_GB2312" w:cs="仿宋_GB2312" w:eastAsia="仿宋_GB2312"/>
              </w:rPr>
              <w:t>2.2硬件运维</w:t>
            </w:r>
          </w:p>
          <w:p>
            <w:pPr>
              <w:pStyle w:val="null3"/>
            </w:pPr>
            <w:r>
              <w:rPr>
                <w:rFonts w:ascii="仿宋_GB2312" w:hAnsi="仿宋_GB2312" w:cs="仿宋_GB2312" w:eastAsia="仿宋_GB2312"/>
              </w:rPr>
              <w:t>为保障西安市市场监督管理局网格化指挥体系融合通信系统硬件基础设施正常运转，保证基础设施承载业务的持续和稳定运行，实现资产有效管理，提高资产利用率，现针对硬件开展质保服务工作。</w:t>
            </w:r>
          </w:p>
          <w:p>
            <w:pPr>
              <w:pStyle w:val="null3"/>
            </w:pPr>
            <w:r>
              <w:rPr>
                <w:rFonts w:ascii="仿宋_GB2312" w:hAnsi="仿宋_GB2312" w:cs="仿宋_GB2312" w:eastAsia="仿宋_GB2312"/>
              </w:rPr>
              <w:t>2.2.1设备清单</w:t>
            </w:r>
          </w:p>
          <w:tbl>
            <w:tblPr>
              <w:tblBorders>
                <w:top w:val="none" w:color="000000" w:sz="4"/>
                <w:left w:val="none" w:color="000000" w:sz="4"/>
                <w:bottom w:val="none" w:color="000000" w:sz="4"/>
                <w:right w:val="none" w:color="000000" w:sz="4"/>
                <w:insideH w:val="none"/>
                <w:insideV w:val="none"/>
              </w:tblBorders>
            </w:tblPr>
            <w:tblGrid>
              <w:gridCol w:w="404"/>
              <w:gridCol w:w="1205"/>
              <w:gridCol w:w="455"/>
              <w:gridCol w:w="489"/>
            </w:tblGrid>
            <w:tr>
              <w:tc>
                <w:tcPr>
                  <w:tcW w:type="dxa" w:w="40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120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名称</w:t>
                  </w:r>
                </w:p>
              </w:tc>
              <w:tc>
                <w:tcPr>
                  <w:tcW w:type="dxa" w:w="45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单位</w:t>
                  </w:r>
                </w:p>
              </w:tc>
              <w:tc>
                <w:tcPr>
                  <w:tcW w:type="dxa" w:w="48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数量</w:t>
                  </w:r>
                </w:p>
              </w:tc>
            </w:tr>
            <w:tr>
              <w:tc>
                <w:tcPr>
                  <w:tcW w:type="dxa" w:w="2553"/>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指挥中心设施</w:t>
                  </w:r>
                </w:p>
              </w:tc>
            </w:tr>
            <w:tr>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20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视频语音控制器</w:t>
                  </w:r>
                </w:p>
              </w:tc>
              <w:tc>
                <w:tcPr>
                  <w:tcW w:type="dxa" w:w="45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48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11</w:t>
                  </w:r>
                </w:p>
              </w:tc>
            </w:tr>
            <w:tr>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12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无线一拖二鹅颈话筒</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4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11</w:t>
                  </w:r>
                </w:p>
              </w:tc>
            </w:tr>
            <w:tr>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12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音响</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4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11</w:t>
                  </w:r>
                </w:p>
              </w:tc>
            </w:tr>
            <w:tr>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12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双屏调度台</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4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12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单屏调度台</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4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r>
            <w:tr>
              <w:tc>
                <w:tcPr>
                  <w:tcW w:type="dxa" w:w="2553"/>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应用支撑设施</w:t>
                  </w:r>
                </w:p>
              </w:tc>
            </w:tr>
            <w:tr>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20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融合通信一体机</w:t>
                  </w:r>
                </w:p>
              </w:tc>
              <w:tc>
                <w:tcPr>
                  <w:tcW w:type="dxa" w:w="45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套</w:t>
                  </w:r>
                </w:p>
              </w:tc>
              <w:tc>
                <w:tcPr>
                  <w:tcW w:type="dxa" w:w="48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12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数字中继</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套</w:t>
                  </w:r>
                </w:p>
              </w:tc>
              <w:tc>
                <w:tcPr>
                  <w:tcW w:type="dxa" w:w="4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12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集群音频接入</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套</w:t>
                  </w:r>
                </w:p>
              </w:tc>
              <w:tc>
                <w:tcPr>
                  <w:tcW w:type="dxa" w:w="4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12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音视频通讯模块</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套</w:t>
                  </w:r>
                </w:p>
              </w:tc>
              <w:tc>
                <w:tcPr>
                  <w:tcW w:type="dxa" w:w="4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2553"/>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系统运行服务设施</w:t>
                  </w:r>
                </w:p>
              </w:tc>
            </w:tr>
            <w:tr>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20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存储服务器</w:t>
                  </w:r>
                </w:p>
              </w:tc>
              <w:tc>
                <w:tcPr>
                  <w:tcW w:type="dxa" w:w="45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48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12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硬盘</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块</w:t>
                  </w:r>
                </w:p>
              </w:tc>
              <w:tc>
                <w:tcPr>
                  <w:tcW w:type="dxa" w:w="4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10</w:t>
                  </w:r>
                </w:p>
              </w:tc>
            </w:tr>
            <w:tr>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12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管理服务器</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4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bl>
          <w:p>
            <w:pPr>
              <w:pStyle w:val="null3"/>
            </w:pPr>
            <w:r>
              <w:rPr>
                <w:rFonts w:ascii="仿宋_GB2312" w:hAnsi="仿宋_GB2312" w:cs="仿宋_GB2312" w:eastAsia="仿宋_GB2312"/>
              </w:rPr>
              <w:t>2.2.2 服务内容</w:t>
            </w:r>
          </w:p>
          <w:p>
            <w:pPr>
              <w:pStyle w:val="null3"/>
            </w:pPr>
            <w:r>
              <w:rPr>
                <w:rFonts w:ascii="仿宋_GB2312" w:hAnsi="仿宋_GB2312" w:cs="仿宋_GB2312" w:eastAsia="仿宋_GB2312"/>
              </w:rPr>
              <w:t>为西安市市场监督管理局网格化指挥体系融合通信系统硬件设施提供质保服务，质保服务时间为</w:t>
            </w:r>
            <w:r>
              <w:rPr>
                <w:rFonts w:ascii="仿宋_GB2312" w:hAnsi="仿宋_GB2312" w:cs="仿宋_GB2312" w:eastAsia="仿宋_GB2312"/>
              </w:rPr>
              <w:t>12个月。</w:t>
            </w:r>
          </w:p>
          <w:p>
            <w:pPr>
              <w:pStyle w:val="null3"/>
            </w:pPr>
            <w:r>
              <w:rPr>
                <w:rFonts w:ascii="仿宋_GB2312" w:hAnsi="仿宋_GB2312" w:cs="仿宋_GB2312" w:eastAsia="仿宋_GB2312"/>
              </w:rPr>
              <w:t>1.定期检查：每月对设备进行一次全面巡检，确保设备状态良好。</w:t>
            </w:r>
          </w:p>
          <w:p>
            <w:pPr>
              <w:pStyle w:val="null3"/>
            </w:pPr>
            <w:r>
              <w:rPr>
                <w:rFonts w:ascii="仿宋_GB2312" w:hAnsi="仿宋_GB2312" w:cs="仿宋_GB2312" w:eastAsia="仿宋_GB2312"/>
              </w:rPr>
              <w:t>2.升级维护：对硬件内涉及软件进行定期升级和检查，确保软件版本更新正常。</w:t>
            </w:r>
          </w:p>
          <w:p>
            <w:pPr>
              <w:pStyle w:val="null3"/>
            </w:pPr>
            <w:r>
              <w:rPr>
                <w:rFonts w:ascii="仿宋_GB2312" w:hAnsi="仿宋_GB2312" w:cs="仿宋_GB2312" w:eastAsia="仿宋_GB2312"/>
              </w:rPr>
              <w:t>3.硬件维修：对损坏的硬件进行及时维修，确保设备正常运转。</w:t>
            </w:r>
          </w:p>
          <w:p>
            <w:pPr>
              <w:pStyle w:val="null3"/>
            </w:pPr>
            <w:r>
              <w:rPr>
                <w:rFonts w:ascii="仿宋_GB2312" w:hAnsi="仿宋_GB2312" w:cs="仿宋_GB2312" w:eastAsia="仿宋_GB2312"/>
              </w:rPr>
              <w:t>4.硬件迁移：对需要进行迁移的硬件进行专业迁移，确保迁移过程中设备安全和数据完整。</w:t>
            </w:r>
          </w:p>
          <w:p>
            <w:pPr>
              <w:pStyle w:val="null3"/>
            </w:pPr>
            <w:r>
              <w:rPr>
                <w:rFonts w:ascii="仿宋_GB2312" w:hAnsi="仿宋_GB2312" w:cs="仿宋_GB2312" w:eastAsia="仿宋_GB2312"/>
              </w:rPr>
              <w:t>2.3租赁服务</w:t>
            </w:r>
          </w:p>
          <w:p>
            <w:pPr>
              <w:pStyle w:val="null3"/>
            </w:pPr>
            <w:r>
              <w:rPr>
                <w:rFonts w:ascii="仿宋_GB2312" w:hAnsi="仿宋_GB2312" w:cs="仿宋_GB2312" w:eastAsia="仿宋_GB2312"/>
              </w:rPr>
              <w:t>不涉及</w:t>
            </w:r>
          </w:p>
          <w:p>
            <w:pPr>
              <w:pStyle w:val="null3"/>
            </w:pPr>
            <w:r>
              <w:rPr>
                <w:rFonts w:ascii="仿宋_GB2312" w:hAnsi="仿宋_GB2312" w:cs="仿宋_GB2312" w:eastAsia="仿宋_GB2312"/>
              </w:rPr>
              <w:t>2.4安全运维</w:t>
            </w:r>
          </w:p>
          <w:p>
            <w:pPr>
              <w:pStyle w:val="null3"/>
            </w:pPr>
            <w:r>
              <w:rPr>
                <w:rFonts w:ascii="仿宋_GB2312" w:hAnsi="仿宋_GB2312" w:cs="仿宋_GB2312" w:eastAsia="仿宋_GB2312"/>
              </w:rPr>
              <w:t>应用系统有新版本发布时，或有安全扫描发现漏洞或威胁风险时，需要对已有系统软件版本进行升级，修复已知漏洞，升级完成后观察系统运行稳定性。同时完善系统功能，优化界面及流程，提升系统稳定性。所有升级工作不得影响现有业务系统正常运行。</w:t>
            </w:r>
          </w:p>
          <w:p>
            <w:pPr>
              <w:pStyle w:val="null3"/>
            </w:pPr>
            <w:r>
              <w:rPr>
                <w:rFonts w:ascii="仿宋_GB2312" w:hAnsi="仿宋_GB2312" w:cs="仿宋_GB2312" w:eastAsia="仿宋_GB2312"/>
              </w:rPr>
              <w:t>2.4.1安全监控与响应</w:t>
            </w:r>
          </w:p>
          <w:p>
            <w:pPr>
              <w:pStyle w:val="null3"/>
            </w:pPr>
            <w:r>
              <w:rPr>
                <w:rFonts w:ascii="仿宋_GB2312" w:hAnsi="仿宋_GB2312" w:cs="仿宋_GB2312" w:eastAsia="仿宋_GB2312"/>
              </w:rPr>
              <w:t>实时监控网络和系统的安全状况，以及各类安全事件。在发现安全威胁时，迅速采取相应措施进行应对，如隔离攻击源、修复漏洞等。</w:t>
            </w:r>
          </w:p>
          <w:p>
            <w:pPr>
              <w:pStyle w:val="null3"/>
            </w:pPr>
            <w:r>
              <w:rPr>
                <w:rFonts w:ascii="仿宋_GB2312" w:hAnsi="仿宋_GB2312" w:cs="仿宋_GB2312" w:eastAsia="仿宋_GB2312"/>
              </w:rPr>
              <w:t>2.4.2安全风险评估与控制</w:t>
            </w:r>
          </w:p>
          <w:p>
            <w:pPr>
              <w:pStyle w:val="null3"/>
            </w:pPr>
            <w:r>
              <w:rPr>
                <w:rFonts w:ascii="仿宋_GB2312" w:hAnsi="仿宋_GB2312" w:cs="仿宋_GB2312" w:eastAsia="仿宋_GB2312"/>
              </w:rPr>
              <w:t>识别系统中潜在的安全威胁和漏洞，对这些风险进行评估，确定其可能造成的损害程度和发生概率。根据风险评估结果，制定并实施相应的控制措施，以降低或消除这些风险。</w:t>
            </w:r>
          </w:p>
          <w:p>
            <w:pPr>
              <w:pStyle w:val="null3"/>
            </w:pPr>
            <w:r>
              <w:rPr>
                <w:rFonts w:ascii="仿宋_GB2312" w:hAnsi="仿宋_GB2312" w:cs="仿宋_GB2312" w:eastAsia="仿宋_GB2312"/>
              </w:rPr>
              <w:t>2.4.3安全漏洞检测与修复</w:t>
            </w:r>
          </w:p>
          <w:p>
            <w:pPr>
              <w:pStyle w:val="null3"/>
            </w:pPr>
            <w:r>
              <w:rPr>
                <w:rFonts w:ascii="仿宋_GB2312" w:hAnsi="仿宋_GB2312" w:cs="仿宋_GB2312" w:eastAsia="仿宋_GB2312"/>
              </w:rPr>
              <w:t>按照西安市市场监督管理局信息安全工作的要求，配合做好系统安全漏洞的响应处理，及时更新安全补丁，修复已知的安全漏洞。对新出现的安全威胁进行持续监控，并制定应急响应计划以应对可能的安全事件。</w:t>
            </w:r>
          </w:p>
          <w:p>
            <w:pPr>
              <w:pStyle w:val="null3"/>
            </w:pPr>
            <w:r>
              <w:rPr>
                <w:rFonts w:ascii="仿宋_GB2312" w:hAnsi="仿宋_GB2312" w:cs="仿宋_GB2312" w:eastAsia="仿宋_GB2312"/>
              </w:rPr>
              <w:t>2.4.4安全配置管理</w:t>
            </w:r>
          </w:p>
          <w:p>
            <w:pPr>
              <w:pStyle w:val="null3"/>
            </w:pPr>
            <w:r>
              <w:rPr>
                <w:rFonts w:ascii="仿宋_GB2312" w:hAnsi="仿宋_GB2312" w:cs="仿宋_GB2312" w:eastAsia="仿宋_GB2312"/>
              </w:rPr>
              <w:t>确保系统和网络设备的配置符合安全策略和标准。对配置进行定期检查和审计，确保其安全性和有效性。</w:t>
            </w:r>
          </w:p>
          <w:p>
            <w:pPr>
              <w:pStyle w:val="null3"/>
            </w:pPr>
            <w:r>
              <w:rPr>
                <w:rFonts w:ascii="仿宋_GB2312" w:hAnsi="仿宋_GB2312" w:cs="仿宋_GB2312" w:eastAsia="仿宋_GB2312"/>
              </w:rPr>
              <w:t>2.4.5用户访问控制和身份管理</w:t>
            </w:r>
          </w:p>
          <w:p>
            <w:pPr>
              <w:pStyle w:val="null3"/>
            </w:pPr>
            <w:r>
              <w:rPr>
                <w:rFonts w:ascii="仿宋_GB2312" w:hAnsi="仿宋_GB2312" w:cs="仿宋_GB2312" w:eastAsia="仿宋_GB2312"/>
              </w:rPr>
              <w:t>管理用户账户和访问权限，确保只有经过授权的用户才能访问系统资源。实施多因素身份验证等强认证措施，提高账户安全性。</w:t>
            </w:r>
          </w:p>
          <w:p>
            <w:pPr>
              <w:pStyle w:val="null3"/>
            </w:pPr>
            <w:r>
              <w:rPr>
                <w:rFonts w:ascii="仿宋_GB2312" w:hAnsi="仿宋_GB2312" w:cs="仿宋_GB2312" w:eastAsia="仿宋_GB2312"/>
              </w:rPr>
              <w:t>2.5密码、信创改造专项</w:t>
            </w:r>
          </w:p>
          <w:p>
            <w:pPr>
              <w:pStyle w:val="null3"/>
            </w:pPr>
            <w:r>
              <w:rPr>
                <w:rFonts w:ascii="仿宋_GB2312" w:hAnsi="仿宋_GB2312" w:cs="仿宋_GB2312" w:eastAsia="仿宋_GB2312"/>
              </w:rPr>
              <w:t>不涉及。</w:t>
            </w:r>
          </w:p>
          <w:p>
            <w:pPr>
              <w:pStyle w:val="null3"/>
            </w:pPr>
            <w:r>
              <w:rPr>
                <w:rFonts w:ascii="仿宋_GB2312" w:hAnsi="仿宋_GB2312" w:cs="仿宋_GB2312" w:eastAsia="仿宋_GB2312"/>
              </w:rPr>
              <w:t>2.6 其他专业外包服务</w:t>
            </w:r>
          </w:p>
          <w:p>
            <w:pPr>
              <w:pStyle w:val="null3"/>
            </w:pPr>
            <w:r>
              <w:rPr>
                <w:rFonts w:ascii="仿宋_GB2312" w:hAnsi="仿宋_GB2312" w:cs="仿宋_GB2312" w:eastAsia="仿宋_GB2312"/>
              </w:rPr>
              <w:t>不涉及。</w:t>
            </w:r>
          </w:p>
          <w:p>
            <w:pPr>
              <w:pStyle w:val="null3"/>
            </w:pPr>
            <w:r>
              <w:rPr>
                <w:rFonts w:ascii="仿宋_GB2312" w:hAnsi="仿宋_GB2312" w:cs="仿宋_GB2312" w:eastAsia="仿宋_GB2312"/>
              </w:rPr>
              <w:t>2.7其他其他内容与服务</w:t>
            </w:r>
          </w:p>
          <w:p>
            <w:pPr>
              <w:pStyle w:val="null3"/>
              <w:jc w:val="both"/>
            </w:pPr>
            <w:r>
              <w:rPr>
                <w:rFonts w:ascii="仿宋_GB2312" w:hAnsi="仿宋_GB2312" w:cs="仿宋_GB2312" w:eastAsia="仿宋_GB2312"/>
                <w:sz w:val="21"/>
              </w:rPr>
              <w:t>不涉及。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运维周期12个月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正常提供服务并经监理确认</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服务期满，经甲方验收合格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本合同在履行过程中发生的争议，由甲、乙双方当事人协商解决，协商不成的按下列第（二）种方式解决： （一）提交 西安 仲裁委员会仲裁； （二）依法向 甲方 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成交供应商在成交后需按照采购人要求提供一正一副纸质版磋商响应文件且应与电子版磋商响应文件保持一致。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提供有效的法人或者其他组织的营业执照等证明文件，自然人的身份证明；2.财务状况：提供上一年度的经审计的财务报表或本年度基本开户银行出具的资信证明；3.提供可充分满足履行合同所需设备和专业技术能力的证明材料或承诺；4.提供近六个月中任何一个月的完税证明或免税证明（加盖公章）；5.提供近六个月中任何一个月的社会保障资金缴纳记录或免缴纳证明（加盖公章）；6.参加政府采购活动前3年内，在经营活动中没有重大违法记录的书面声明；7.不存在违反法律、法规的情况（提供承诺）。</w:t>
            </w:r>
          </w:p>
        </w:tc>
        <w:tc>
          <w:tcPr>
            <w:tcW w:type="dxa" w:w="1661"/>
          </w:tcPr>
          <w:p>
            <w:pPr>
              <w:pStyle w:val="null3"/>
            </w:pPr>
            <w:r>
              <w:rPr>
                <w:rFonts w:ascii="仿宋_GB2312" w:hAnsi="仿宋_GB2312" w:cs="仿宋_GB2312" w:eastAsia="仿宋_GB2312"/>
              </w:rPr>
              <w:t>响应文件封面 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供应商需在项目电子化交易系统中按要求上传相应证明文件并进行电子签章。提供上一年度的经审计的财务报表或本年度基本开户银行出具的资信证明。</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法定代表人（主要负责人）委托代理人参加磋商时，应提供法定代表人（主要负责人）委托授权书；法定代表人（主要负责人）亲自参加磋商时，应提供法定代表人（主要负责人）身份证明书。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供应商未被列入“信用中国”（www.creditchina.gov.cn）记录的“严重失信主体名单”和“重大税收违法失信主体”名单；未被列入“中国政府采购网”（www.ccgp.gov.cn）中的“政府采购严重违法失信行为记录名单”。</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供应商不得存在下列情形之一</w:t>
            </w:r>
          </w:p>
        </w:tc>
        <w:tc>
          <w:tcPr>
            <w:tcW w:type="dxa" w:w="3322"/>
          </w:tcPr>
          <w:p>
            <w:pPr>
              <w:pStyle w:val="null3"/>
            </w:pPr>
            <w:r>
              <w:rPr>
                <w:rFonts w:ascii="仿宋_GB2312" w:hAnsi="仿宋_GB2312" w:cs="仿宋_GB2312" w:eastAsia="仿宋_GB2312"/>
              </w:rPr>
              <w:t>3.1单位负责人为同一人或者存在直接控股、管理关系的不同供应商不得参加同一合同项下的政府采购活动；3.2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按磋商文件格式要求签署、盖章</w:t>
            </w:r>
          </w:p>
        </w:tc>
        <w:tc>
          <w:tcPr>
            <w:tcW w:type="dxa" w:w="1661"/>
          </w:tcPr>
          <w:p>
            <w:pPr>
              <w:pStyle w:val="null3"/>
            </w:pPr>
            <w:r>
              <w:rPr>
                <w:rFonts w:ascii="仿宋_GB2312" w:hAnsi="仿宋_GB2312" w:cs="仿宋_GB2312" w:eastAsia="仿宋_GB2312"/>
              </w:rPr>
              <w:t>响应文件封面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供应商磋商报价没有超出采购预算或最高限价</w:t>
            </w:r>
          </w:p>
        </w:tc>
        <w:tc>
          <w:tcPr>
            <w:tcW w:type="dxa" w:w="1661"/>
          </w:tcPr>
          <w:p>
            <w:pPr>
              <w:pStyle w:val="null3"/>
            </w:pPr>
            <w:r>
              <w:rPr>
                <w:rFonts w:ascii="仿宋_GB2312" w:hAnsi="仿宋_GB2312" w:cs="仿宋_GB2312" w:eastAsia="仿宋_GB2312"/>
              </w:rPr>
              <w:t>标的清单 报价表 分项报价明细表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服务内容及服务邀请应答表 其他资料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服务内容及服务邀请应答表 其他资料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服务内容及服务邀请应答表 其他资料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服务内容及服务邀请应答表 其他资料</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软件运维实施方案</w:t>
            </w:r>
          </w:p>
        </w:tc>
        <w:tc>
          <w:tcPr>
            <w:tcW w:type="dxa" w:w="2492"/>
          </w:tcPr>
          <w:p>
            <w:pPr>
              <w:pStyle w:val="null3"/>
            </w:pPr>
            <w:r>
              <w:rPr>
                <w:rFonts w:ascii="仿宋_GB2312" w:hAnsi="仿宋_GB2312" w:cs="仿宋_GB2312" w:eastAsia="仿宋_GB2312"/>
              </w:rPr>
              <w:t>根据供应商提供的运维实施方案， 包括但不限于：①梳理项目现场现有资源及架构；②运维解决方案（包含系统巡视、软件维护、安全维护、日常维护等）；③运维服务实施方案（包含方式、方法、步骤、措施等）。以上方案须展开描述，方案完整详细、科学 合理，具有可行性、针对性，符合项目特点的，完全满足采购人需求的每提供一个得5分；具有相关方案，内容较充实，具有可行性，符合项目需要，满足采购人需求的每提供一个得 4分；方案内容描述基本完善，具有一定的合理性及可行性，每提供一个得3 分；方案笼统、 内容简单、表述不清，不具有可行性的，每提供一个得2分；未提供不得分。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硬件质保方案</w:t>
            </w:r>
          </w:p>
        </w:tc>
        <w:tc>
          <w:tcPr>
            <w:tcW w:type="dxa" w:w="2492"/>
          </w:tcPr>
          <w:p>
            <w:pPr>
              <w:pStyle w:val="null3"/>
            </w:pPr>
            <w:r>
              <w:rPr>
                <w:rFonts w:ascii="仿宋_GB2312" w:hAnsi="仿宋_GB2312" w:cs="仿宋_GB2312" w:eastAsia="仿宋_GB2312"/>
              </w:rPr>
              <w:t>根据供应商提供的硬件质保方案， 包括但不限于：①质保与服务承诺方案；②服务响应与备件保障方案；③预防性维护与技术服务方案。以上方案须展开描述，方案完整详细、科学合理，具有可行性、针对性，符合项目特点的，完全满足采购人需求的每提供一个得5分；具有相关方案，内容较充实，具有可行性，符合项目需要，满足采购人需求的每提供一个得 4分；方案内容描述基本完善，具有一定的合理性及可行性， 每提供一个得 3分；方案笼统、内容简单、表述不清，不具有可行性的，每提供一个得 2分；未提供不得分。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运维内部管理制度</w:t>
            </w:r>
          </w:p>
        </w:tc>
        <w:tc>
          <w:tcPr>
            <w:tcW w:type="dxa" w:w="2492"/>
          </w:tcPr>
          <w:p>
            <w:pPr>
              <w:pStyle w:val="null3"/>
            </w:pPr>
            <w:r>
              <w:rPr>
                <w:rFonts w:ascii="仿宋_GB2312" w:hAnsi="仿宋_GB2312" w:cs="仿宋_GB2312" w:eastAsia="仿宋_GB2312"/>
              </w:rPr>
              <w:t>根据供应商提供的内部管理制度方案， 包括但不限于：①人员管理制度(包括运维人员管理制度、运维人员培训方案、日常考核制度等) ;②保密管理制度(包括运维人员保密制度、安全措施等) ;③ 档案管理制度(包括运行过程、运行事件进行详细记录管理、归档管理制度、数 据备份制度、数据移交方案等)。以上方案须展开描述，方案完整详细、科学合理，具有可行性、针对性，符合项目特点的，完全满足采购人需求的每提供一个得5分；具有相关方案，内容较充实， 具有可行性，符合项目需要，满足采购人需求的每提供一个得4分；方案内容描述基本完善，具有一定的合理性及可行性，每提供一个得3分；方案笼统、内容简单、表述不清，不具有可行性的，每提供一个得2分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服务质量管理方案</w:t>
            </w:r>
          </w:p>
        </w:tc>
        <w:tc>
          <w:tcPr>
            <w:tcW w:type="dxa" w:w="2492"/>
          </w:tcPr>
          <w:p>
            <w:pPr>
              <w:pStyle w:val="null3"/>
            </w:pPr>
            <w:r>
              <w:rPr>
                <w:rFonts w:ascii="仿宋_GB2312" w:hAnsi="仿宋_GB2312" w:cs="仿宋_GB2312" w:eastAsia="仿宋_GB2312"/>
              </w:rPr>
              <w:t>根据供应商提供的运维保障方案，包括但不限于：①质量管理措施；②服务考核制度（包含运维人员管理考核、响应时间考核、服务质量考核等）。以上方案须展开描述，方案完整详细、科学合理，具有可行性、针对性，符合项目特点的，完全满足采购人需求的每提供一个得 6分；具有相关方案，内容较充实，具有可行性，符合项目需要，满足采购人需求的每提供一个得5分；方案内容描述基本完善，具有一定的合理性及可行性，每提供一个得 4分；方案笼统、内容简单、表述不清，不具有可行性的，每提供一个得3分；未提供不得分。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运维组人员</w:t>
            </w:r>
          </w:p>
        </w:tc>
        <w:tc>
          <w:tcPr>
            <w:tcW w:type="dxa" w:w="2492"/>
          </w:tcPr>
          <w:p>
            <w:pPr>
              <w:pStyle w:val="null3"/>
            </w:pPr>
            <w:r>
              <w:rPr>
                <w:rFonts w:ascii="仿宋_GB2312" w:hAnsi="仿宋_GB2312" w:cs="仿宋_GB2312" w:eastAsia="仿宋_GB2312"/>
              </w:rPr>
              <w:t>项目团队人员中具备IT服务工程师证书、IT服务项目经理证书，每提供一个证书得3分。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综合实力</w:t>
            </w:r>
          </w:p>
        </w:tc>
        <w:tc>
          <w:tcPr>
            <w:tcW w:type="dxa" w:w="2492"/>
          </w:tcPr>
          <w:p>
            <w:pPr>
              <w:pStyle w:val="null3"/>
            </w:pPr>
            <w:r>
              <w:rPr>
                <w:rFonts w:ascii="仿宋_GB2312" w:hAnsi="仿宋_GB2312" w:cs="仿宋_GB2312" w:eastAsia="仿宋_GB2312"/>
              </w:rPr>
              <w:t>1、供应商具备有效期内软件能力成熟度5级（CMMI5）认证证书得4分，软件能力成熟度4级（CMMI4）认证证书得3 分，软件能力成熟度3级（CMMI3）认证证书得2 分，未提供不得分。 2、供应商具有①ISO9001质量管理体系认证证书、②ISO14001环境管理体系认证证书、③IS0/EC20000IT服务管理体系认证证书。④企业具备高新技术企业证书以上4个证书每具备1个得2 分，最多得8分，未提供不得分。 （评审依据为响应文件中提供的证书复印件并加盖供应商单位公章）</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提供2022年1月1日至今类似项目合同业绩，每份业绩计1分，最高得5分（以合同复印件为准，时间以合同签订时间为准，否则不得分）。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1、评审基准价：有效响应文件最后报价中的最低报价为评审基准价，其价格分为满分20分。 2、供应商报价得分：报价得分=(评审基准价／最终报价)×20。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