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CC6B7">
      <w:pPr>
        <w:shd w:val="clear"/>
        <w:spacing w:line="360" w:lineRule="auto"/>
        <w:jc w:val="center"/>
        <w:rPr>
          <w:rFonts w:hint="eastAsia"/>
          <w:b/>
          <w:bCs/>
          <w:color w:val="auto"/>
          <w:sz w:val="52"/>
          <w:szCs w:val="52"/>
          <w:highlight w:val="none"/>
          <w:lang w:eastAsia="zh-CN"/>
        </w:rPr>
      </w:pPr>
    </w:p>
    <w:p w14:paraId="0725FCDC">
      <w:pPr>
        <w:shd w:val="clear"/>
        <w:spacing w:line="360" w:lineRule="auto"/>
        <w:jc w:val="center"/>
        <w:rPr>
          <w:rFonts w:hint="eastAsia"/>
          <w:b/>
          <w:bCs/>
          <w:color w:val="auto"/>
          <w:sz w:val="52"/>
          <w:szCs w:val="52"/>
          <w:highlight w:val="none"/>
          <w:lang w:eastAsia="zh-CN"/>
        </w:rPr>
      </w:pPr>
    </w:p>
    <w:p w14:paraId="475120A9">
      <w:pPr>
        <w:shd w:val="clear"/>
        <w:spacing w:line="360" w:lineRule="auto"/>
        <w:jc w:val="center"/>
        <w:rPr>
          <w:rFonts w:hint="eastAsia"/>
          <w:b/>
          <w:bCs/>
          <w:color w:val="auto"/>
          <w:sz w:val="52"/>
          <w:szCs w:val="52"/>
          <w:highlight w:val="none"/>
          <w:lang w:eastAsia="zh-CN"/>
        </w:rPr>
      </w:pPr>
    </w:p>
    <w:p w14:paraId="5B98858C">
      <w:pPr>
        <w:shd w:val="clear"/>
        <w:spacing w:line="360" w:lineRule="auto"/>
        <w:jc w:val="center"/>
        <w:rPr>
          <w:rFonts w:hint="eastAsia"/>
          <w:b/>
          <w:bCs/>
          <w:color w:val="auto"/>
          <w:sz w:val="52"/>
          <w:szCs w:val="52"/>
          <w:highlight w:val="none"/>
          <w:lang w:eastAsia="zh-CN"/>
        </w:rPr>
      </w:pPr>
    </w:p>
    <w:p w14:paraId="36EC65BA">
      <w:pPr>
        <w:shd w:val="clear"/>
        <w:spacing w:line="360" w:lineRule="auto"/>
        <w:jc w:val="center"/>
        <w:rPr>
          <w:rFonts w:hint="eastAsia"/>
          <w:b/>
          <w:bCs/>
          <w:color w:val="auto"/>
          <w:sz w:val="52"/>
          <w:szCs w:val="52"/>
          <w:highlight w:val="none"/>
          <w:lang w:eastAsia="zh-CN"/>
        </w:rPr>
      </w:pPr>
      <w:bookmarkStart w:id="12" w:name="_GoBack"/>
      <w:bookmarkEnd w:id="12"/>
      <w:r>
        <w:rPr>
          <w:rFonts w:hint="eastAsia"/>
          <w:b/>
          <w:bCs/>
          <w:color w:val="auto"/>
          <w:sz w:val="52"/>
          <w:szCs w:val="52"/>
          <w:highlight w:val="none"/>
          <w:lang w:eastAsia="zh-CN"/>
        </w:rPr>
        <w:t>2025年生态环境执法监测项目合同</w:t>
      </w:r>
    </w:p>
    <w:p w14:paraId="474E2563">
      <w:pPr>
        <w:shd w:val="clear"/>
        <w:jc w:val="center"/>
        <w:rPr>
          <w:b/>
          <w:bCs/>
          <w:color w:val="auto"/>
          <w:sz w:val="44"/>
          <w:szCs w:val="44"/>
          <w:highlight w:val="none"/>
          <w:lang w:eastAsia="zh-CN"/>
        </w:rPr>
      </w:pPr>
    </w:p>
    <w:p w14:paraId="51B67EEB">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（合同包</w:t>
      </w:r>
      <w:r>
        <w:rPr>
          <w:rFonts w:hint="eastAsia" w:ascii="宋体" w:hAnsi="宋体" w:eastAsia="宋体" w:cs="宋体"/>
          <w:b/>
          <w:bCs/>
          <w:color w:val="auto"/>
          <w:sz w:val="48"/>
          <w:szCs w:val="48"/>
          <w:highlight w:val="none"/>
          <w:u w:val="single"/>
          <w:lang w:eastAsia="zh-CN"/>
        </w:rPr>
        <w:t xml:space="preserve"> </w:t>
      </w:r>
      <w:r>
        <w:rPr>
          <w:rFonts w:hint="eastAsia" w:cs="宋体"/>
          <w:b/>
          <w:bCs/>
          <w:color w:val="auto"/>
          <w:sz w:val="48"/>
          <w:szCs w:val="48"/>
          <w:highlight w:val="none"/>
          <w:u w:val="single"/>
          <w:lang w:val="en-US" w:eastAsia="zh-CN"/>
        </w:rPr>
        <w:t xml:space="preserve">  </w:t>
      </w:r>
      <w:r>
        <w:rPr>
          <w:rFonts w:hint="eastAsia" w:ascii="宋体" w:hAnsi="宋体" w:eastAsia="宋体" w:cs="宋体"/>
          <w:b/>
          <w:bCs/>
          <w:color w:val="auto"/>
          <w:sz w:val="48"/>
          <w:szCs w:val="48"/>
          <w:highlight w:val="none"/>
          <w:u w:val="single"/>
          <w:lang w:eastAsia="zh-CN"/>
        </w:rPr>
        <w:t xml:space="preserve"> </w:t>
      </w:r>
      <w:r>
        <w:rPr>
          <w:rFonts w:hint="eastAsia" w:ascii="宋体" w:hAnsi="宋体" w:eastAsia="宋体" w:cs="宋体"/>
          <w:b/>
          <w:bCs/>
          <w:color w:val="auto"/>
          <w:sz w:val="48"/>
          <w:szCs w:val="48"/>
          <w:highlight w:val="none"/>
          <w:lang w:eastAsia="zh-CN"/>
        </w:rPr>
        <w:t>）合同</w:t>
      </w:r>
    </w:p>
    <w:p w14:paraId="0E8F4E53">
      <w:pPr>
        <w:shd w:val="clear"/>
        <w:rPr>
          <w:color w:val="auto"/>
          <w:highlight w:val="none"/>
          <w:lang w:eastAsia="zh-CN"/>
        </w:rPr>
      </w:pPr>
    </w:p>
    <w:p w14:paraId="4F4A8590">
      <w:pPr>
        <w:shd w:val="clear"/>
        <w:rPr>
          <w:color w:val="auto"/>
          <w:highlight w:val="none"/>
          <w:lang w:eastAsia="zh-CN"/>
        </w:rPr>
      </w:pPr>
    </w:p>
    <w:p w14:paraId="499ECD46">
      <w:pPr>
        <w:shd w:val="clear"/>
        <w:rPr>
          <w:color w:val="auto"/>
          <w:highlight w:val="none"/>
          <w:lang w:eastAsia="zh-CN"/>
        </w:rPr>
      </w:pPr>
    </w:p>
    <w:p w14:paraId="42AFF16F">
      <w:pPr>
        <w:shd w:val="clear"/>
        <w:rPr>
          <w:color w:val="auto"/>
          <w:highlight w:val="none"/>
          <w:lang w:eastAsia="zh-CN"/>
        </w:rPr>
      </w:pPr>
    </w:p>
    <w:p w14:paraId="2772116E">
      <w:pPr>
        <w:shd w:val="clear"/>
        <w:rPr>
          <w:color w:val="auto"/>
          <w:highlight w:val="none"/>
          <w:lang w:eastAsia="zh-CN"/>
        </w:rPr>
      </w:pPr>
    </w:p>
    <w:p w14:paraId="1B404CE3">
      <w:pPr>
        <w:shd w:val="clear"/>
        <w:jc w:val="center"/>
        <w:rPr>
          <w:b/>
          <w:color w:val="auto"/>
          <w:sz w:val="36"/>
          <w:szCs w:val="36"/>
          <w:highlight w:val="none"/>
          <w:lang w:eastAsia="zh-CN"/>
        </w:rPr>
      </w:pPr>
      <w:r>
        <w:rPr>
          <w:rFonts w:hint="eastAsia"/>
          <w:b/>
          <w:color w:val="auto"/>
          <w:sz w:val="36"/>
          <w:szCs w:val="36"/>
          <w:highlight w:val="none"/>
          <w:lang w:eastAsia="zh-CN"/>
        </w:rPr>
        <w:t>（示范文本）</w:t>
      </w:r>
    </w:p>
    <w:p w14:paraId="33DAFA3A">
      <w:pPr>
        <w:shd w:val="clear"/>
        <w:adjustRightInd w:val="0"/>
        <w:snapToGrid w:val="0"/>
        <w:spacing w:line="500" w:lineRule="exact"/>
        <w:ind w:firstLine="950" w:firstLineChars="198"/>
        <w:rPr>
          <w:color w:val="auto"/>
          <w:sz w:val="24"/>
          <w:szCs w:val="24"/>
          <w:highlight w:val="none"/>
          <w:u w:val="single"/>
          <w:lang w:eastAsia="zh-CN"/>
        </w:rPr>
      </w:pPr>
      <w:r>
        <w:rPr>
          <w:rFonts w:hint="eastAsia"/>
          <w:bCs/>
          <w:color w:val="auto"/>
          <w:sz w:val="48"/>
          <w:szCs w:val="48"/>
          <w:highlight w:val="none"/>
          <w:lang w:eastAsia="zh-CN"/>
        </w:rPr>
        <w:br w:type="page"/>
      </w:r>
    </w:p>
    <w:p w14:paraId="198A4332">
      <w:pPr>
        <w:shd w:val="clear" w:color="auto" w:fill="auto"/>
        <w:adjustRightInd w:val="0"/>
        <w:snapToGrid w:val="0"/>
        <w:spacing w:line="500" w:lineRule="exact"/>
        <w:ind w:left="0" w:leftChars="0" w:firstLine="0" w:firstLineChars="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第一部分  协议书</w:t>
      </w:r>
    </w:p>
    <w:p w14:paraId="104C84E9">
      <w:pPr>
        <w:shd w:val="clear" w:color="auto" w:fill="auto"/>
        <w:adjustRightInd w:val="0"/>
        <w:snapToGrid w:val="0"/>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甲方（全称）：</w:t>
      </w:r>
      <w:r>
        <w:rPr>
          <w:rFonts w:hint="eastAsia" w:ascii="宋体" w:hAnsi="宋体" w:eastAsia="宋体" w:cs="宋体"/>
          <w:b/>
          <w:color w:val="auto"/>
          <w:sz w:val="21"/>
          <w:szCs w:val="21"/>
          <w:highlight w:val="none"/>
          <w:u w:val="single"/>
          <w:lang w:eastAsia="zh-CN"/>
        </w:rPr>
        <w:t xml:space="preserve">                                      </w:t>
      </w:r>
    </w:p>
    <w:p w14:paraId="4F0A579A">
      <w:pPr>
        <w:shd w:val="clear" w:color="auto" w:fill="auto"/>
        <w:adjustRightInd w:val="0"/>
        <w:snapToGrid w:val="0"/>
        <w:spacing w:line="50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eastAsia="zh-CN"/>
        </w:rPr>
        <w:t>乙方（全称）：</w:t>
      </w:r>
      <w:r>
        <w:rPr>
          <w:rFonts w:hint="eastAsia" w:ascii="宋体" w:hAnsi="宋体" w:eastAsia="宋体" w:cs="宋体"/>
          <w:b/>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 xml:space="preserve">   </w:t>
      </w:r>
    </w:p>
    <w:p w14:paraId="00BDB1C7">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5BBCD8A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一、服务内容： </w:t>
      </w:r>
    </w:p>
    <w:p w14:paraId="5FDF1857">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1、项目名称：2025年生态环境执法监测项目</w:t>
      </w:r>
    </w:p>
    <w:p w14:paraId="01C2B91C">
      <w:pPr>
        <w:shd w:val="clear" w:color="auto" w:fill="auto"/>
        <w:spacing w:line="500" w:lineRule="exact"/>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2、项目概况：采购内容:西安市涉水、涉气企业委托第三方监测，包括涉水企业执法检查水质监测、西安市涉气企业监督性监测。</w:t>
      </w:r>
    </w:p>
    <w:p w14:paraId="57B04C1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default" w:ascii="宋体" w:hAnsi="宋体" w:eastAsia="宋体" w:cs="宋体"/>
          <w:color w:val="auto"/>
          <w:sz w:val="21"/>
          <w:szCs w:val="21"/>
          <w:highlight w:val="none"/>
          <w:lang w:val="en-US"/>
        </w:rPr>
      </w:pPr>
      <w:r>
        <w:rPr>
          <w:rFonts w:hint="eastAsia" w:ascii="宋体" w:hAnsi="宋体" w:eastAsia="宋体" w:cs="宋体"/>
          <w:b/>
          <w:bCs/>
          <w:color w:val="auto"/>
          <w:kern w:val="0"/>
          <w:sz w:val="21"/>
          <w:szCs w:val="21"/>
          <w:highlight w:val="none"/>
          <w:lang w:val="en-US" w:eastAsia="zh-CN" w:bidi="ar"/>
        </w:rPr>
        <w:t xml:space="preserve">二、服务地点及服务期 </w:t>
      </w:r>
      <w:r>
        <w:rPr>
          <w:rFonts w:hint="eastAsia" w:cs="宋体"/>
          <w:b/>
          <w:bCs/>
          <w:color w:val="auto"/>
          <w:kern w:val="0"/>
          <w:sz w:val="21"/>
          <w:szCs w:val="21"/>
          <w:highlight w:val="none"/>
          <w:lang w:val="en-US" w:eastAsia="zh-CN" w:bidi="ar"/>
        </w:rPr>
        <w:t xml:space="preserve"> </w:t>
      </w:r>
    </w:p>
    <w:p w14:paraId="02744C0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1.服务地点：采购人指定地点。 </w:t>
      </w:r>
    </w:p>
    <w:p w14:paraId="73090B7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2.服务期：合同签订之日起至2026年12月31日</w:t>
      </w:r>
    </w:p>
    <w:p w14:paraId="228EA39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三、合同价款 </w:t>
      </w:r>
    </w:p>
    <w:p w14:paraId="65A152F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1.合同形式：</w:t>
      </w:r>
      <w:r>
        <w:rPr>
          <w:rFonts w:hint="eastAsia" w:cs="宋体"/>
          <w:color w:val="auto"/>
          <w:kern w:val="0"/>
          <w:sz w:val="21"/>
          <w:szCs w:val="21"/>
          <w:highlight w:val="none"/>
          <w:lang w:val="en-US" w:eastAsia="zh-CN" w:bidi="ar"/>
        </w:rPr>
        <w:t>单价</w:t>
      </w:r>
      <w:r>
        <w:rPr>
          <w:rFonts w:hint="eastAsia" w:ascii="宋体" w:hAnsi="宋体" w:eastAsia="宋体" w:cs="宋体"/>
          <w:color w:val="auto"/>
          <w:kern w:val="0"/>
          <w:sz w:val="21"/>
          <w:szCs w:val="21"/>
          <w:highlight w:val="none"/>
          <w:lang w:val="en-US" w:eastAsia="zh-CN" w:bidi="ar"/>
        </w:rPr>
        <w:t>合同</w:t>
      </w:r>
    </w:p>
    <w:p w14:paraId="6535419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w:t>
      </w:r>
      <w:r>
        <w:rPr>
          <w:rFonts w:hint="eastAsia" w:cs="宋体"/>
          <w:color w:val="auto"/>
          <w:kern w:val="0"/>
          <w:sz w:val="21"/>
          <w:szCs w:val="21"/>
          <w:highlight w:val="none"/>
          <w:lang w:val="en-US" w:eastAsia="zh-CN" w:bidi="ar"/>
        </w:rPr>
        <w:t>价格</w:t>
      </w:r>
      <w:r>
        <w:rPr>
          <w:rFonts w:hint="eastAsia" w:ascii="宋体" w:hAnsi="宋体" w:eastAsia="宋体" w:cs="宋体"/>
          <w:color w:val="auto"/>
          <w:kern w:val="0"/>
          <w:sz w:val="21"/>
          <w:szCs w:val="21"/>
          <w:highlight w:val="none"/>
          <w:lang w:val="en-US" w:eastAsia="zh-CN" w:bidi="ar"/>
        </w:rPr>
        <w:t>为完成本项目所要求服务内容且验收合格的所有费用，包括但不限于人工费、检测服务费、管理费、社保费、税金等其他一切相关费用。</w:t>
      </w:r>
    </w:p>
    <w:p w14:paraId="7EC747E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r>
        <w:rPr>
          <w:rFonts w:hint="eastAsia" w:ascii="宋体" w:hAnsi="宋体" w:eastAsia="宋体" w:cs="宋体"/>
          <w:color w:val="auto"/>
          <w:sz w:val="21"/>
          <w:szCs w:val="21"/>
          <w:highlight w:val="none"/>
          <w:lang w:eastAsia="zh-CN"/>
        </w:rPr>
        <w:t>合同总价款为人民币</w:t>
      </w:r>
      <w:r>
        <w:rPr>
          <w:rFonts w:hint="eastAsia" w:ascii="宋体" w:hAnsi="宋体" w:eastAsia="宋体" w:cs="宋体"/>
          <w:color w:val="auto"/>
          <w:sz w:val="21"/>
          <w:szCs w:val="21"/>
          <w:highlight w:val="none"/>
          <w:u w:val="none"/>
          <w:lang w:eastAsia="zh-CN"/>
        </w:rPr>
        <w:t>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小写（¥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w:t>
      </w:r>
    </w:p>
    <w:p w14:paraId="0E24107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四、款项结算 </w:t>
      </w:r>
    </w:p>
    <w:p w14:paraId="2087B49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1.付款比例： </w:t>
      </w:r>
    </w:p>
    <w:p w14:paraId="48FCB299">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①第一次付款为合同签订后，供应商开具相应正式发票后，达到付款条件起20日内，支付合同总金额的50%。</w:t>
      </w:r>
    </w:p>
    <w:p w14:paraId="05862254">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②第二次付款为验收合格后，供应商开具相应正式发票后，达到付款条件起20日内，据实结算剩余合同款。</w:t>
      </w:r>
    </w:p>
    <w:p w14:paraId="6F488385">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2.支付方式：银行转账。 </w:t>
      </w:r>
    </w:p>
    <w:p w14:paraId="5CEC5A69">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bidi="ar"/>
        </w:rPr>
        <w:t>3.结算方式：</w:t>
      </w:r>
      <w:r>
        <w:rPr>
          <w:rFonts w:hint="eastAsia" w:ascii="宋体" w:hAnsi="宋体" w:eastAsia="宋体" w:cs="宋体"/>
          <w:color w:val="auto"/>
          <w:sz w:val="21"/>
          <w:szCs w:val="21"/>
          <w:highlight w:val="none"/>
          <w:lang w:eastAsia="zh-CN"/>
        </w:rPr>
        <w:t>在甲方进行每笔付款前，乙方需向甲方开具等额的增值税普通发票，因乙方未及时提供发票引起的支付延误由乙方自行承担责任。</w:t>
      </w:r>
    </w:p>
    <w:p w14:paraId="2102EAD5">
      <w:pPr>
        <w:keepNext w:val="0"/>
        <w:keepLines w:val="0"/>
        <w:pageBreakBefore w:val="0"/>
        <w:widowControl/>
        <w:shd w:val="clear" w:color="auto" w:fill="auto"/>
        <w:kinsoku/>
        <w:wordWrap/>
        <w:overflowPunct/>
        <w:topLinePunct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甲方通过银行转账的方式向乙方支付协议款项，乙方提供银行账号。</w:t>
      </w:r>
    </w:p>
    <w:p w14:paraId="1B5259B6">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乙方指定账户为：</w:t>
      </w:r>
    </w:p>
    <w:p w14:paraId="1A3A213F">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账户名称：</w:t>
      </w:r>
      <w:r>
        <w:rPr>
          <w:rFonts w:hint="eastAsia" w:ascii="宋体" w:hAnsi="宋体" w:eastAsia="宋体" w:cs="宋体"/>
          <w:color w:val="auto"/>
          <w:sz w:val="21"/>
          <w:szCs w:val="21"/>
          <w:highlight w:val="none"/>
          <w:u w:val="single"/>
          <w:lang w:eastAsia="zh-CN"/>
        </w:rPr>
        <w:t xml:space="preserve">                </w:t>
      </w:r>
    </w:p>
    <w:p w14:paraId="60C65652">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开户行：</w:t>
      </w:r>
      <w:r>
        <w:rPr>
          <w:rFonts w:hint="eastAsia" w:ascii="宋体" w:hAnsi="宋体" w:eastAsia="宋体" w:cs="宋体"/>
          <w:color w:val="auto"/>
          <w:sz w:val="21"/>
          <w:szCs w:val="21"/>
          <w:highlight w:val="none"/>
          <w:u w:val="single"/>
          <w:lang w:eastAsia="zh-CN"/>
        </w:rPr>
        <w:t xml:space="preserve">                  </w:t>
      </w:r>
    </w:p>
    <w:p w14:paraId="7F8433C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w:t>
      </w:r>
      <w:r>
        <w:rPr>
          <w:rFonts w:hint="eastAsia" w:ascii="宋体" w:hAnsi="宋体" w:eastAsia="宋体" w:cs="宋体"/>
          <w:color w:val="auto"/>
          <w:sz w:val="21"/>
          <w:szCs w:val="21"/>
          <w:highlight w:val="none"/>
          <w:lang w:val="en-US" w:eastAsia="zh-CN"/>
        </w:rPr>
        <w:t>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 xml:space="preserve">                </w:t>
      </w:r>
    </w:p>
    <w:p w14:paraId="091BAE25">
      <w:pPr>
        <w:keepNext w:val="0"/>
        <w:keepLines w:val="0"/>
        <w:pageBreakBefore w:val="0"/>
        <w:widowControl/>
        <w:numPr>
          <w:ilvl w:val="0"/>
          <w:numId w:val="1"/>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kern w:val="0"/>
          <w:sz w:val="21"/>
          <w:szCs w:val="21"/>
          <w:highlight w:val="none"/>
          <w:lang w:val="en-US" w:eastAsia="zh-CN" w:bidi="ar"/>
        </w:rPr>
        <w:t>服务内容及要求</w:t>
      </w:r>
    </w:p>
    <w:p w14:paraId="794A318B">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highlight w:val="none"/>
        </w:rPr>
      </w:pPr>
      <w:bookmarkStart w:id="0" w:name="_Toc1358"/>
      <w:r>
        <w:rPr>
          <w:rFonts w:hint="eastAsia"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监测依据</w:t>
      </w:r>
      <w:bookmarkEnd w:id="0"/>
    </w:p>
    <w:p w14:paraId="3B28D224">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（1）废水《污水监测技术规范》</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"https://www.mee.gov.cn/ywgz/fgbz/bz/bzwb/jcffbz/201912/W020191227499037308984.pdf"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（HJ 91.1-2019）</w:t>
      </w:r>
      <w:r>
        <w:rPr>
          <w:rFonts w:hint="eastAsia" w:ascii="宋体" w:hAnsi="宋体" w:eastAsia="宋体" w:cs="宋体"/>
          <w:color w:val="auto"/>
          <w:sz w:val="21"/>
          <w:szCs w:val="21"/>
          <w:highlight w:val="none"/>
          <w:lang w:val="en-US" w:eastAsia="zh-CN"/>
        </w:rPr>
        <w:fldChar w:fldCharType="end"/>
      </w:r>
    </w:p>
    <w:p w14:paraId="75201A42">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bookmarkStart w:id="1" w:name="_Toc12428"/>
      <w:r>
        <w:rPr>
          <w:rFonts w:hint="eastAsia" w:ascii="宋体" w:hAnsi="宋体" w:eastAsia="宋体" w:cs="宋体"/>
          <w:color w:val="auto"/>
          <w:sz w:val="21"/>
          <w:szCs w:val="21"/>
          <w:highlight w:val="none"/>
          <w:lang w:val="en-US" w:eastAsia="zh-CN"/>
        </w:rPr>
        <w:t>（2）土壤和危废</w:t>
      </w:r>
      <w:bookmarkEnd w:id="1"/>
      <w:r>
        <w:rPr>
          <w:rFonts w:hint="eastAsia" w:ascii="宋体" w:hAnsi="宋体" w:eastAsia="宋体" w:cs="宋体"/>
          <w:color w:val="auto"/>
          <w:sz w:val="21"/>
          <w:szCs w:val="21"/>
          <w:highlight w:val="none"/>
          <w:lang w:val="en-US" w:eastAsia="zh-CN"/>
        </w:rPr>
        <w:t xml:space="preserve"> </w:t>
      </w:r>
    </w:p>
    <w:p w14:paraId="26035D49">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《土壤环境监测技术规范》（HJ/T 166 -2004）；</w:t>
      </w:r>
    </w:p>
    <w:p w14:paraId="7FA67AB5">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《土壤环境质量</w:t>
      </w:r>
      <w:r>
        <w:rPr>
          <w:rFonts w:hint="default"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建设用地土壤污染风险管控标准（试行）》（</w:t>
      </w:r>
      <w:r>
        <w:rPr>
          <w:rFonts w:hint="default" w:ascii="宋体" w:hAnsi="宋体" w:eastAsia="宋体" w:cs="宋体"/>
          <w:color w:val="auto"/>
          <w:sz w:val="21"/>
          <w:szCs w:val="21"/>
          <w:highlight w:val="none"/>
          <w:lang w:val="en-US" w:eastAsia="zh-CN"/>
        </w:rPr>
        <w:t>GB 36600-2018</w:t>
      </w:r>
      <w:r>
        <w:rPr>
          <w:rFonts w:hint="eastAsia" w:ascii="宋体" w:hAnsi="宋体" w:eastAsia="宋体" w:cs="宋体"/>
          <w:color w:val="auto"/>
          <w:sz w:val="21"/>
          <w:szCs w:val="21"/>
          <w:highlight w:val="none"/>
          <w:lang w:val="en-US" w:eastAsia="zh-CN"/>
        </w:rPr>
        <w:t>）；</w:t>
      </w:r>
    </w:p>
    <w:p w14:paraId="22CC5A20">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《危险废物鉴别技术规范》（HJ298-2019）</w:t>
      </w:r>
    </w:p>
    <w:p w14:paraId="6090FE14">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bookmarkStart w:id="2" w:name="_Toc13137"/>
      <w:r>
        <w:rPr>
          <w:rFonts w:hint="eastAsia" w:ascii="宋体" w:hAnsi="宋体" w:eastAsia="宋体" w:cs="宋体"/>
          <w:color w:val="auto"/>
          <w:sz w:val="21"/>
          <w:szCs w:val="21"/>
          <w:highlight w:val="none"/>
          <w:lang w:val="en-US" w:eastAsia="zh-CN"/>
        </w:rPr>
        <w:t>（3）废气</w:t>
      </w:r>
      <w:bookmarkEnd w:id="2"/>
    </w:p>
    <w:p w14:paraId="0EB9BF0A">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《固定源废气监测技术规范》（THJ/T 397-2007）；</w:t>
      </w:r>
    </w:p>
    <w:p w14:paraId="523B81FF">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《固定污染源排气中颗粒物测定与气态污染物采样方法》（GB/T 16157-1996）及修改单；</w:t>
      </w:r>
    </w:p>
    <w:p w14:paraId="5CC10F06">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《固定污染源废气 挥发性有机物的采样 气袋法》 </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"https://www.mee.gov.cn/ywgz/fgbz/bz/bzwb/jcffbz/201501/W020150115565034743613.pdf"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(HJ 732-2014)</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w:t>
      </w:r>
    </w:p>
    <w:p w14:paraId="3AD6E51D">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《大气污染物无组织排放监测技术导则》（0HJ/T 55-2000）；</w:t>
      </w:r>
    </w:p>
    <w:p w14:paraId="6A470F52">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《固定源废气监测技术规范》（HJ /T 397-2007）；</w:t>
      </w:r>
    </w:p>
    <w:p w14:paraId="264C6E72">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《大气污染物无组织排放监测技术导则》（HJ/T 55-2000）；</w:t>
      </w:r>
    </w:p>
    <w:p w14:paraId="3498D87A">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《加油站大气污染物排放标准》（GB20952—2020）</w:t>
      </w:r>
    </w:p>
    <w:p w14:paraId="663F3483">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bookmarkStart w:id="3" w:name="_Toc10870"/>
      <w:r>
        <w:rPr>
          <w:rFonts w:hint="eastAsia" w:ascii="宋体" w:hAnsi="宋体" w:eastAsia="宋体" w:cs="宋体"/>
          <w:color w:val="auto"/>
          <w:sz w:val="21"/>
          <w:szCs w:val="21"/>
          <w:highlight w:val="none"/>
          <w:lang w:val="en-US" w:eastAsia="zh-CN"/>
        </w:rPr>
        <w:t>（4）噪声</w:t>
      </w:r>
      <w:bookmarkEnd w:id="3"/>
    </w:p>
    <w:p w14:paraId="61C00CE0">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《建筑施工场界环境噪声排放标准》（GB 12523-2011）；</w:t>
      </w:r>
    </w:p>
    <w:p w14:paraId="17504E7B">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《工业企业厂界环境噪声排放标准》（GB 12348-2008）；</w:t>
      </w:r>
    </w:p>
    <w:p w14:paraId="229F180D">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《环境噪声监测技术规范 噪声测量值修正》（HJ 706-2014）</w:t>
      </w:r>
    </w:p>
    <w:p w14:paraId="649B9B3F">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highlight w:val="none"/>
          <w:lang w:val="en-US" w:eastAsia="zh-CN"/>
        </w:rPr>
      </w:pPr>
      <w:bookmarkStart w:id="4" w:name="_Toc24539"/>
      <w:r>
        <w:rPr>
          <w:rFonts w:hint="eastAsia"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val="en-US" w:eastAsia="zh-CN"/>
        </w:rPr>
        <w:t>评价标准</w:t>
      </w:r>
      <w:bookmarkEnd w:id="4"/>
    </w:p>
    <w:p w14:paraId="329D913C">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bookmarkStart w:id="5" w:name="_Toc25509"/>
      <w:r>
        <w:rPr>
          <w:rFonts w:hint="eastAsia" w:ascii="宋体" w:hAnsi="宋体" w:eastAsia="宋体" w:cs="宋体"/>
          <w:color w:val="auto"/>
          <w:sz w:val="21"/>
          <w:szCs w:val="21"/>
          <w:highlight w:val="none"/>
          <w:lang w:val="en-US" w:eastAsia="zh-CN"/>
        </w:rPr>
        <w:t>（1）废水</w:t>
      </w:r>
      <w:bookmarkEnd w:id="5"/>
    </w:p>
    <w:p w14:paraId="67470235">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污水综合排放标准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（GB 8978-1996 ）</w:t>
      </w:r>
      <w:r>
        <w:rPr>
          <w:rFonts w:hint="eastAsia" w:ascii="宋体" w:hAnsi="宋体" w:eastAsia="宋体" w:cs="宋体"/>
          <w:color w:val="auto"/>
          <w:sz w:val="21"/>
          <w:szCs w:val="21"/>
          <w:highlight w:val="none"/>
          <w:lang w:eastAsia="zh-CN"/>
        </w:rPr>
        <w:t>；</w:t>
      </w:r>
    </w:p>
    <w:p w14:paraId="52BE4AE1">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《城镇污水处理厂污染物排放标准》</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"https://www.mee.gov.cn/ywgz/fgbz/bz/bzwb/shjbh/swrwpfbz/200307/W020061027518964575034.pdf" \t "https://www.mee.gov.cn/ywgz/fgbz/bz/bzwb/shjbh/swrwpfbz/200307/_self"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（GB 18918-2002）</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"http://www.mee.gov.cn/gkml/zj/gg/200910/t20091021_171628.htm" \t "https://www.mee.gov.cn/ywgz/fgbz/bz/bzwb/shjbh/swrwpfbz/200307/_self"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关于发布《城镇污水处理厂污染物排放标准》（GB18918-2002）修改单</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w:t>
      </w:r>
    </w:p>
    <w:p w14:paraId="0951A592">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《电镀污染物排放标准》</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"https://www.mee.gov.cn/ywgz/fgbz/bz/bzwb/shjbh/swrwpfbz/200807/W020211018585573047867.pdf"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（GB 21900—2008）</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w:t>
      </w:r>
    </w:p>
    <w:p w14:paraId="6CFB88CC">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医疗机构水污染物排放标准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（GB 18466-2005）</w:t>
      </w:r>
      <w:r>
        <w:rPr>
          <w:rFonts w:hint="eastAsia" w:ascii="宋体" w:hAnsi="宋体" w:eastAsia="宋体" w:cs="宋体"/>
          <w:color w:val="auto"/>
          <w:sz w:val="21"/>
          <w:szCs w:val="21"/>
          <w:highlight w:val="none"/>
          <w:lang w:eastAsia="zh-CN"/>
        </w:rPr>
        <w:t>；</w:t>
      </w:r>
    </w:p>
    <w:p w14:paraId="649840A3">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《陕西省黄河流域污水综合排放标准》（DB61/224-2018）</w:t>
      </w:r>
      <w:r>
        <w:rPr>
          <w:rFonts w:hint="eastAsia" w:ascii="宋体" w:hAnsi="宋体" w:eastAsia="宋体" w:cs="宋体"/>
          <w:color w:val="auto"/>
          <w:sz w:val="21"/>
          <w:szCs w:val="21"/>
          <w:highlight w:val="none"/>
          <w:lang w:eastAsia="zh-CN"/>
        </w:rPr>
        <w:t>；</w:t>
      </w:r>
    </w:p>
    <w:p w14:paraId="738AED4C">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《农村生活污水处理设施水污染物排放标准》农村生活污水处理设施水污染物排放标准</w:t>
      </w:r>
      <w:r>
        <w:rPr>
          <w:rFonts w:hint="eastAsia" w:ascii="宋体" w:hAnsi="宋体" w:eastAsia="宋体" w:cs="宋体"/>
          <w:color w:val="auto"/>
          <w:sz w:val="21"/>
          <w:szCs w:val="21"/>
          <w:highlight w:val="none"/>
        </w:rPr>
        <w:t>（DB61  122</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--2018)</w:t>
      </w:r>
    </w:p>
    <w:p w14:paraId="6A77ED95">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bookmarkStart w:id="6" w:name="_Toc20236"/>
      <w:r>
        <w:rPr>
          <w:rFonts w:hint="eastAsia" w:ascii="宋体" w:hAnsi="宋体" w:eastAsia="宋体" w:cs="宋体"/>
          <w:color w:val="auto"/>
          <w:sz w:val="21"/>
          <w:szCs w:val="21"/>
          <w:highlight w:val="none"/>
          <w:lang w:val="en-US" w:eastAsia="zh-CN"/>
        </w:rPr>
        <w:t>（2）废气</w:t>
      </w:r>
      <w:bookmarkEnd w:id="6"/>
    </w:p>
    <w:p w14:paraId="1117A774">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《大气污染物综合排放标准》（GB 16297—1996）；</w:t>
      </w:r>
    </w:p>
    <w:p w14:paraId="3E459306">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《工业炉窑大气污染物排放标准》（GB 9078-1996）；</w:t>
      </w:r>
    </w:p>
    <w:p w14:paraId="2CABFC92">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《锅炉大气污染物排放标准》（GB 13271-2014）；</w:t>
      </w:r>
    </w:p>
    <w:p w14:paraId="40513601">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《挥发性有机物无组织排放控制标准》（GB  37822—2019）；</w:t>
      </w:r>
    </w:p>
    <w:p w14:paraId="54FC1898">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"http://www.mee.gov.cn/ywgz/fgbz/bz/bzwb/dqhjbh/dqgdwrywrwpfbz/202012/t20201231_815640.shtml"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加油站大气污染物排放标准》（GB20952—2020</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w:t>
      </w:r>
    </w:p>
    <w:p w14:paraId="0264D738">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《挥发性有机物无组织排放控制标准》</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"http://www.mee.gov.cn/ywgz/fgbz/bz/bzwb/dqhjbh/dqgdwrywrwpfbz/201906/t20190606_705905.shtml"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（GB 37822-2019）</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w:t>
      </w:r>
    </w:p>
    <w:p w14:paraId="08B9ECFC">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《制药工业大气污染物排放标准》</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"http://www.mee.gov.cn/ywgz/fgbz/bz/bzwb/dqhjbh/dqgdwrywrwpfbz/201906/t20190606_705913.shtml"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（GB 37823－2019）</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w:t>
      </w:r>
    </w:p>
    <w:p w14:paraId="292DDC9F">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《涂料、油墨及胶粘剂工业大气污染物排放标准》</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"http://www.mee.gov.cn/ywgz/fgbz/bz/bzwb/dqhjbh/dqgdwrywrwpfbz/201906/t20190606_705916.shtml"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（GB 37824－2019）</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w:t>
      </w:r>
    </w:p>
    <w:p w14:paraId="18FDC7D4">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关中地区重点行业大气污染物排放标准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"http://sthjt.shaanxi.gov.cn/upload/d/file/standard/dfbz/20190114/1547449074972389.pdf" \o "关中地区重点行业大气污染物排放标准（DB/61  941--2018）" \t "http://sthjt.shaanxi.gov.cn/mcms/_blank"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（DB/61 941--2018）</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lang w:eastAsia="zh-CN"/>
        </w:rPr>
        <w:t>；</w:t>
      </w:r>
    </w:p>
    <w:p w14:paraId="52383B8E">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锅炉大气污染物排放标准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"http://sthjt.shaanxi.gov.cn/upload/d/file/standard/dfbz/20190116/1547630042550376.pdf" \o "\\\"锅炉大气污染物排放标准（DB61"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（DB61  1226--2018)</w:t>
      </w:r>
      <w:r>
        <w:rPr>
          <w:rFonts w:hint="eastAsia" w:ascii="宋体" w:hAnsi="宋体" w:eastAsia="宋体" w:cs="宋体"/>
          <w:color w:val="auto"/>
          <w:sz w:val="21"/>
          <w:szCs w:val="21"/>
          <w:highlight w:val="none"/>
        </w:rPr>
        <w:fldChar w:fldCharType="end"/>
      </w:r>
    </w:p>
    <w:p w14:paraId="52F441B2">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bookmarkStart w:id="7" w:name="_Toc16503"/>
      <w:r>
        <w:rPr>
          <w:rFonts w:hint="eastAsia" w:ascii="宋体" w:hAnsi="宋体" w:eastAsia="宋体" w:cs="宋体"/>
          <w:color w:val="auto"/>
          <w:sz w:val="21"/>
          <w:szCs w:val="21"/>
          <w:highlight w:val="none"/>
          <w:lang w:val="en-US" w:eastAsia="zh-CN"/>
        </w:rPr>
        <w:t>（3）土壤和危废</w:t>
      </w:r>
      <w:bookmarkEnd w:id="7"/>
    </w:p>
    <w:p w14:paraId="68E299BD">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《土壤环境质量建设用地土壤污染风险管控标准》（GB36600-2018 ）； </w:t>
      </w:r>
    </w:p>
    <w:p w14:paraId="2C3602A4">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《土壤环境质量农用地土壤污染风险管控标准》（GB36600-2018 ）；</w:t>
      </w:r>
    </w:p>
    <w:p w14:paraId="5DC3C401">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《危险废物鉴别标准》（</w:t>
      </w:r>
      <w:r>
        <w:rPr>
          <w:rFonts w:hint="default" w:ascii="宋体" w:hAnsi="宋体" w:eastAsia="宋体" w:cs="宋体"/>
          <w:color w:val="auto"/>
          <w:sz w:val="21"/>
          <w:szCs w:val="21"/>
          <w:highlight w:val="none"/>
          <w:lang w:val="en-US" w:eastAsia="zh-CN"/>
        </w:rPr>
        <w:t>GB5085.1-7)</w:t>
      </w:r>
    </w:p>
    <w:p w14:paraId="2097BD10">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bookmarkStart w:id="8" w:name="_Toc18820"/>
      <w:r>
        <w:rPr>
          <w:rFonts w:hint="eastAsia" w:ascii="宋体" w:hAnsi="宋体" w:eastAsia="宋体" w:cs="宋体"/>
          <w:color w:val="auto"/>
          <w:sz w:val="21"/>
          <w:szCs w:val="21"/>
          <w:highlight w:val="none"/>
          <w:lang w:val="en-US" w:eastAsia="zh-CN"/>
        </w:rPr>
        <w:t>（4）噪声</w:t>
      </w:r>
      <w:bookmarkEnd w:id="8"/>
    </w:p>
    <w:p w14:paraId="379EE0D9">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《建筑施工场界环境噪声排放标准》（GB 12523-2011）；</w:t>
      </w:r>
    </w:p>
    <w:p w14:paraId="42B6C1EF">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《工业企业厂界环境噪声排放标准》（GB 12348-2008）</w:t>
      </w:r>
      <w:bookmarkStart w:id="9" w:name="_Toc28128"/>
      <w:r>
        <w:rPr>
          <w:rFonts w:hint="eastAsia" w:ascii="宋体" w:hAnsi="宋体" w:eastAsia="宋体" w:cs="宋体"/>
          <w:color w:val="auto"/>
          <w:sz w:val="21"/>
          <w:szCs w:val="21"/>
          <w:highlight w:val="none"/>
          <w:lang w:val="en-US" w:eastAsia="zh-CN"/>
        </w:rPr>
        <w:t>。</w:t>
      </w:r>
    </w:p>
    <w:p w14:paraId="486D010B">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sectPr>
          <w:pgSz w:w="11905" w:h="16838"/>
          <w:pgMar w:top="1440" w:right="1803" w:bottom="1440" w:left="1803" w:header="851" w:footer="992" w:gutter="0"/>
          <w:pgNumType w:fmt="decimal"/>
          <w:cols w:space="720" w:num="1"/>
          <w:rtlGutter w:val="0"/>
          <w:docGrid w:type="lines" w:linePitch="319" w:charSpace="0"/>
        </w:sectPr>
      </w:pPr>
    </w:p>
    <w:p w14:paraId="10A33DF0">
      <w:pPr>
        <w:keepNext w:val="0"/>
        <w:keepLines w:val="0"/>
        <w:pageBreakBefore w:val="0"/>
        <w:kinsoku/>
        <w:wordWrap/>
        <w:overflowPunct/>
        <w:topLinePunct w:val="0"/>
        <w:autoSpaceDE/>
        <w:autoSpaceDN/>
        <w:bidi w:val="0"/>
        <w:adjustRightInd w:val="0"/>
        <w:snapToGrid/>
        <w:spacing w:line="360" w:lineRule="auto"/>
        <w:jc w:val="left"/>
        <w:textAlignment w:val="auto"/>
        <w:outlineLvl w:val="1"/>
        <w:rPr>
          <w:rFonts w:hint="eastAsia" w:asciiTheme="minorEastAsia" w:hAnsiTheme="minorEastAsia" w:eastAsiaTheme="minorEastAsia" w:cstheme="minorEastAsia"/>
          <w:b w:val="0"/>
          <w:bCs/>
          <w:color w:val="auto"/>
          <w:sz w:val="21"/>
          <w:szCs w:val="21"/>
          <w:lang w:val="en-US" w:eastAsia="zh-CN"/>
        </w:rPr>
      </w:pPr>
      <w:r>
        <w:rPr>
          <w:rFonts w:hint="eastAsia" w:asciiTheme="minorEastAsia" w:hAnsiTheme="minorEastAsia" w:eastAsiaTheme="minorEastAsia" w:cstheme="minorEastAsia"/>
          <w:b w:val="0"/>
          <w:bCs/>
          <w:color w:val="auto"/>
          <w:kern w:val="2"/>
          <w:sz w:val="21"/>
          <w:szCs w:val="21"/>
          <w:lang w:val="en-US" w:eastAsia="zh-CN" w:bidi="ar-SA"/>
        </w:rPr>
        <w:t>3、监测内容</w:t>
      </w:r>
      <w:bookmarkEnd w:id="9"/>
    </w:p>
    <w:p w14:paraId="08BB571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新宋体" w:hAnsi="新宋体" w:eastAsia="新宋体" w:cs="新宋体"/>
          <w:b/>
          <w:bCs/>
          <w:strike w:val="0"/>
          <w:dstrike w:val="0"/>
          <w:color w:val="auto"/>
          <w:kern w:val="2"/>
          <w:sz w:val="21"/>
          <w:szCs w:val="21"/>
          <w:lang w:val="en-US" w:eastAsia="zh-CN" w:bidi="ar-SA"/>
        </w:rPr>
      </w:pPr>
      <w:r>
        <w:rPr>
          <w:rFonts w:hint="eastAsia" w:ascii="新宋体" w:hAnsi="新宋体" w:eastAsia="新宋体" w:cs="新宋体"/>
          <w:b/>
          <w:bCs/>
          <w:strike w:val="0"/>
          <w:dstrike w:val="0"/>
          <w:color w:val="auto"/>
          <w:kern w:val="2"/>
          <w:sz w:val="21"/>
          <w:szCs w:val="21"/>
          <w:lang w:val="en-US" w:eastAsia="zh-CN" w:bidi="ar-SA"/>
        </w:rPr>
        <w:t>西安市2025年执法监测内容</w:t>
      </w:r>
    </w:p>
    <w:tbl>
      <w:tblPr>
        <w:tblStyle w:val="6"/>
        <w:tblW w:w="100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2"/>
        <w:gridCol w:w="1473"/>
        <w:gridCol w:w="1434"/>
        <w:gridCol w:w="1964"/>
        <w:gridCol w:w="1692"/>
        <w:gridCol w:w="3102"/>
      </w:tblGrid>
      <w:tr w14:paraId="05568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51523ABD">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序号</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31BD4D65">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企业类别</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02257C6A">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采样频次</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14D0B7A4">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监测依据</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14:paraId="5D928D09">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分析依据</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584BD06D">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监测项目</w:t>
            </w:r>
          </w:p>
        </w:tc>
      </w:tr>
      <w:tr w14:paraId="5147C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03415DEB">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1</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3B4CA692">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西安市污水处理厂</w:t>
            </w:r>
          </w:p>
        </w:tc>
        <w:tc>
          <w:tcPr>
            <w:tcW w:w="1434" w:type="dxa"/>
            <w:vMerge w:val="restart"/>
            <w:tcBorders>
              <w:top w:val="single" w:color="000000" w:sz="4" w:space="0"/>
              <w:left w:val="single" w:color="000000" w:sz="4" w:space="0"/>
              <w:bottom w:val="single" w:color="000000" w:sz="4" w:space="0"/>
              <w:right w:val="single" w:color="000000" w:sz="4" w:space="0"/>
            </w:tcBorders>
            <w:noWrap w:val="0"/>
            <w:vAlign w:val="center"/>
          </w:tcPr>
          <w:p w14:paraId="57242B8C">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瞬时采集1个样品或者按照甲方要求的次数</w:t>
            </w:r>
          </w:p>
        </w:tc>
        <w:tc>
          <w:tcPr>
            <w:tcW w:w="1964" w:type="dxa"/>
            <w:vMerge w:val="restart"/>
            <w:tcBorders>
              <w:top w:val="single" w:color="000000" w:sz="4" w:space="0"/>
              <w:left w:val="single" w:color="000000" w:sz="4" w:space="0"/>
              <w:bottom w:val="single" w:color="000000" w:sz="4" w:space="0"/>
              <w:right w:val="single" w:color="000000" w:sz="4" w:space="0"/>
            </w:tcBorders>
            <w:noWrap w:val="0"/>
            <w:vAlign w:val="center"/>
          </w:tcPr>
          <w:p w14:paraId="4EB68026">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《污水监测技术规范》（HJ 91.1-2019）</w:t>
            </w:r>
          </w:p>
        </w:tc>
        <w:tc>
          <w:tcPr>
            <w:tcW w:w="1692" w:type="dxa"/>
            <w:vMerge w:val="restart"/>
            <w:tcBorders>
              <w:top w:val="single" w:color="000000" w:sz="4" w:space="0"/>
              <w:left w:val="single" w:color="000000" w:sz="4" w:space="0"/>
              <w:bottom w:val="single" w:color="000000" w:sz="4" w:space="0"/>
              <w:right w:val="single" w:color="000000" w:sz="4" w:space="0"/>
            </w:tcBorders>
            <w:noWrap w:val="0"/>
            <w:vAlign w:val="center"/>
          </w:tcPr>
          <w:p w14:paraId="582F420A">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《污水综合排放标准》（GB 8978-1996）推荐的分析方法，详见附表1</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08EBBF84">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7项：COD、氨氮、总磷、总氮、悬浮物、粪大肠菌群、pH。</w:t>
            </w:r>
          </w:p>
        </w:tc>
      </w:tr>
      <w:tr w14:paraId="7A577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0A3AE4E6">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2</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5E7A686E">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农村生活污水处理站</w:t>
            </w:r>
          </w:p>
        </w:tc>
        <w:tc>
          <w:tcPr>
            <w:tcW w:w="143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AEEA4F">
            <w:pPr>
              <w:spacing w:line="260" w:lineRule="exact"/>
              <w:rPr>
                <w:rFonts w:hint="eastAsia" w:asciiTheme="minorEastAsia" w:hAnsiTheme="minorEastAsia" w:eastAsiaTheme="minorEastAsia" w:cstheme="minorEastAsia"/>
                <w:color w:val="auto"/>
                <w:kern w:val="0"/>
                <w:sz w:val="21"/>
                <w:szCs w:val="21"/>
              </w:rPr>
            </w:pPr>
          </w:p>
        </w:tc>
        <w:tc>
          <w:tcPr>
            <w:tcW w:w="19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1A90AA">
            <w:pPr>
              <w:spacing w:line="260" w:lineRule="exact"/>
              <w:rPr>
                <w:rFonts w:hint="eastAsia" w:asciiTheme="minorEastAsia" w:hAnsiTheme="minorEastAsia" w:eastAsiaTheme="minorEastAsia" w:cstheme="minorEastAsia"/>
                <w:color w:val="auto"/>
                <w:kern w:val="0"/>
                <w:sz w:val="21"/>
                <w:szCs w:val="21"/>
              </w:rPr>
            </w:pP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30E7D2">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728FBF23">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6项：COD、氨氮、总磷、总氮、悬浮物、动植物油。</w:t>
            </w:r>
          </w:p>
        </w:tc>
      </w:tr>
      <w:tr w14:paraId="6628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31BBCFAB">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3</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0839864C">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医疗机构</w:t>
            </w:r>
          </w:p>
        </w:tc>
        <w:tc>
          <w:tcPr>
            <w:tcW w:w="143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06C3EC">
            <w:pPr>
              <w:spacing w:line="260" w:lineRule="exact"/>
              <w:rPr>
                <w:rFonts w:hint="eastAsia" w:asciiTheme="minorEastAsia" w:hAnsiTheme="minorEastAsia" w:eastAsiaTheme="minorEastAsia" w:cstheme="minorEastAsia"/>
                <w:color w:val="auto"/>
                <w:kern w:val="0"/>
                <w:sz w:val="21"/>
                <w:szCs w:val="21"/>
              </w:rPr>
            </w:pPr>
          </w:p>
        </w:tc>
        <w:tc>
          <w:tcPr>
            <w:tcW w:w="19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2E0FA5">
            <w:pPr>
              <w:spacing w:line="260" w:lineRule="exact"/>
              <w:rPr>
                <w:rFonts w:hint="eastAsia" w:asciiTheme="minorEastAsia" w:hAnsiTheme="minorEastAsia" w:eastAsiaTheme="minorEastAsia" w:cstheme="minorEastAsia"/>
                <w:color w:val="auto"/>
                <w:kern w:val="0"/>
                <w:sz w:val="21"/>
                <w:szCs w:val="21"/>
              </w:rPr>
            </w:pP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96FBD8">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12219A4C">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5项：COD、氨氮、悬浮物、粪大肠菌群、pH。</w:t>
            </w:r>
          </w:p>
        </w:tc>
      </w:tr>
      <w:tr w14:paraId="113B9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4CFA0360">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4</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1C883BE2">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一般涉废水企业</w:t>
            </w:r>
          </w:p>
        </w:tc>
        <w:tc>
          <w:tcPr>
            <w:tcW w:w="143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62A892">
            <w:pPr>
              <w:spacing w:line="260" w:lineRule="exact"/>
              <w:rPr>
                <w:rFonts w:hint="eastAsia" w:asciiTheme="minorEastAsia" w:hAnsiTheme="minorEastAsia" w:eastAsiaTheme="minorEastAsia" w:cstheme="minorEastAsia"/>
                <w:color w:val="auto"/>
                <w:kern w:val="0"/>
                <w:sz w:val="21"/>
                <w:szCs w:val="21"/>
              </w:rPr>
            </w:pPr>
          </w:p>
        </w:tc>
        <w:tc>
          <w:tcPr>
            <w:tcW w:w="19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9F48EF">
            <w:pPr>
              <w:spacing w:line="260" w:lineRule="exact"/>
              <w:rPr>
                <w:rFonts w:hint="eastAsia" w:asciiTheme="minorEastAsia" w:hAnsiTheme="minorEastAsia" w:eastAsiaTheme="minorEastAsia" w:cstheme="minorEastAsia"/>
                <w:color w:val="auto"/>
                <w:kern w:val="0"/>
                <w:sz w:val="21"/>
                <w:szCs w:val="21"/>
              </w:rPr>
            </w:pP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CC8D80">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7A633EE7">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6项：COD、氨氮、总磷、总氮、悬浮物、pH。</w:t>
            </w:r>
          </w:p>
        </w:tc>
      </w:tr>
      <w:tr w14:paraId="1C1B0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5440DBD9">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5</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7A007C77">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重点涉废水企业</w:t>
            </w:r>
          </w:p>
        </w:tc>
        <w:tc>
          <w:tcPr>
            <w:tcW w:w="143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9468D6">
            <w:pPr>
              <w:spacing w:line="260" w:lineRule="exact"/>
              <w:rPr>
                <w:rFonts w:hint="eastAsia" w:asciiTheme="minorEastAsia" w:hAnsiTheme="minorEastAsia" w:eastAsiaTheme="minorEastAsia" w:cstheme="minorEastAsia"/>
                <w:color w:val="auto"/>
                <w:kern w:val="0"/>
                <w:sz w:val="21"/>
                <w:szCs w:val="21"/>
              </w:rPr>
            </w:pPr>
          </w:p>
        </w:tc>
        <w:tc>
          <w:tcPr>
            <w:tcW w:w="19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9DDE43">
            <w:pPr>
              <w:spacing w:line="260" w:lineRule="exact"/>
              <w:rPr>
                <w:rFonts w:hint="eastAsia" w:asciiTheme="minorEastAsia" w:hAnsiTheme="minorEastAsia" w:eastAsiaTheme="minorEastAsia" w:cstheme="minorEastAsia"/>
                <w:color w:val="auto"/>
                <w:kern w:val="0"/>
                <w:sz w:val="21"/>
                <w:szCs w:val="21"/>
              </w:rPr>
            </w:pP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A7C4C7">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42585D06">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6项：COD、总磷、总氮、氨氮、悬浮物、pH。</w:t>
            </w:r>
          </w:p>
        </w:tc>
      </w:tr>
      <w:tr w14:paraId="7C75E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1E5715B8">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6</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41256B9E">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配合省级专项执法检查水质监测计划</w:t>
            </w:r>
          </w:p>
        </w:tc>
        <w:tc>
          <w:tcPr>
            <w:tcW w:w="143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FF661C">
            <w:pPr>
              <w:spacing w:line="260" w:lineRule="exact"/>
              <w:rPr>
                <w:rFonts w:hint="eastAsia" w:asciiTheme="minorEastAsia" w:hAnsiTheme="minorEastAsia" w:eastAsiaTheme="minorEastAsia" w:cstheme="minorEastAsia"/>
                <w:color w:val="auto"/>
                <w:kern w:val="0"/>
                <w:sz w:val="21"/>
                <w:szCs w:val="21"/>
              </w:rPr>
            </w:pPr>
          </w:p>
        </w:tc>
        <w:tc>
          <w:tcPr>
            <w:tcW w:w="19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A05446">
            <w:pPr>
              <w:spacing w:line="260" w:lineRule="exact"/>
              <w:rPr>
                <w:rFonts w:hint="eastAsia" w:asciiTheme="minorEastAsia" w:hAnsiTheme="minorEastAsia" w:eastAsiaTheme="minorEastAsia" w:cstheme="minorEastAsia"/>
                <w:color w:val="auto"/>
                <w:kern w:val="0"/>
                <w:sz w:val="21"/>
                <w:szCs w:val="21"/>
              </w:rPr>
            </w:pP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2CC615">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ign w:val="center"/>
          </w:tcPr>
          <w:p w14:paraId="487C2D06">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7项：COD、氨氮、总磷、总氮、悬浮物、粪大肠菌群、pH。</w:t>
            </w:r>
          </w:p>
        </w:tc>
      </w:tr>
      <w:tr w14:paraId="2DD77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55796EBC">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7</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04C7ACF9">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涉水中重金属企业</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7AEB3725">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瞬时采集1个样品或者按照甲方要求的次数</w:t>
            </w:r>
          </w:p>
        </w:tc>
        <w:tc>
          <w:tcPr>
            <w:tcW w:w="19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2B90C5">
            <w:pPr>
              <w:spacing w:line="260" w:lineRule="exact"/>
              <w:rPr>
                <w:rFonts w:hint="eastAsia" w:asciiTheme="minorEastAsia" w:hAnsiTheme="minorEastAsia" w:eastAsiaTheme="minorEastAsia" w:cstheme="minorEastAsia"/>
                <w:color w:val="auto"/>
                <w:kern w:val="0"/>
                <w:sz w:val="21"/>
                <w:szCs w:val="21"/>
              </w:rPr>
            </w:pP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5C3B11">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2FE81157">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14项：COD、氨氮、总磷、总氮、悬浮物、pH、铜、砷、铬、铅、锌、六价铬、汞、镉。</w:t>
            </w:r>
          </w:p>
        </w:tc>
      </w:tr>
      <w:tr w14:paraId="25BFB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66503BBF">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8</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55F29F2A">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工业窑炉</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69D6F7CD">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每个排气筒监测1小时均值</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6AB86FBA">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《固定源废气监测技术规范》（HJ /T 397-2007）</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14:paraId="33A1C3A0">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详见附表1</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18CFCA91">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3项：颗粒物、二氧化硫、氮氧化物。</w:t>
            </w:r>
          </w:p>
        </w:tc>
      </w:tr>
      <w:tr w14:paraId="59DC3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412" w:type="dxa"/>
            <w:vMerge w:val="restart"/>
            <w:tcBorders>
              <w:top w:val="single" w:color="000000" w:sz="4" w:space="0"/>
              <w:left w:val="single" w:color="000000" w:sz="4" w:space="0"/>
              <w:bottom w:val="single" w:color="000000" w:sz="4" w:space="0"/>
              <w:right w:val="single" w:color="000000" w:sz="4" w:space="0"/>
            </w:tcBorders>
            <w:noWrap w:val="0"/>
            <w:vAlign w:val="center"/>
          </w:tcPr>
          <w:p w14:paraId="42094321">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9</w:t>
            </w:r>
          </w:p>
        </w:tc>
        <w:tc>
          <w:tcPr>
            <w:tcW w:w="1473" w:type="dxa"/>
            <w:vMerge w:val="restart"/>
            <w:tcBorders>
              <w:top w:val="single" w:color="000000" w:sz="4" w:space="0"/>
              <w:left w:val="single" w:color="000000" w:sz="4" w:space="0"/>
              <w:bottom w:val="single" w:color="000000" w:sz="4" w:space="0"/>
              <w:right w:val="single" w:color="000000" w:sz="4" w:space="0"/>
            </w:tcBorders>
            <w:noWrap w:val="0"/>
            <w:vAlign w:val="center"/>
          </w:tcPr>
          <w:p w14:paraId="4B4B9B9F">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涉VOCs企业</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469EE6C4">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每个排气筒监测1小时均值，处理设施进口、出口监测非甲烷总烃</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1BCA9F8D">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《固定源废气监测技术规范》（HJ /T 397-2007）</w:t>
            </w:r>
          </w:p>
        </w:tc>
        <w:tc>
          <w:tcPr>
            <w:tcW w:w="1692" w:type="dxa"/>
            <w:vMerge w:val="restart"/>
            <w:tcBorders>
              <w:top w:val="single" w:color="000000" w:sz="4" w:space="0"/>
              <w:left w:val="single" w:color="000000" w:sz="4" w:space="0"/>
              <w:bottom w:val="single" w:color="000000" w:sz="4" w:space="0"/>
              <w:right w:val="single" w:color="000000" w:sz="4" w:space="0"/>
            </w:tcBorders>
            <w:noWrap w:val="0"/>
            <w:vAlign w:val="center"/>
          </w:tcPr>
          <w:p w14:paraId="34E065AF">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详见附表1</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0DCDF0ED">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有组织约7项：苯、甲苯、二甲苯、甲醇、丙酮、乙酸酯类、非甲烷总烃的浓度及非甲烷总烃去除率</w:t>
            </w:r>
          </w:p>
        </w:tc>
      </w:tr>
      <w:tr w14:paraId="26C69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41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99BCE4">
            <w:pPr>
              <w:spacing w:line="260" w:lineRule="exact"/>
              <w:rPr>
                <w:rFonts w:hint="eastAsia" w:asciiTheme="minorEastAsia" w:hAnsiTheme="minorEastAsia" w:eastAsiaTheme="minorEastAsia" w:cstheme="minorEastAsia"/>
                <w:color w:val="auto"/>
                <w:kern w:val="0"/>
                <w:sz w:val="21"/>
                <w:szCs w:val="21"/>
              </w:rPr>
            </w:pPr>
          </w:p>
        </w:tc>
        <w:tc>
          <w:tcPr>
            <w:tcW w:w="147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419B5D">
            <w:pPr>
              <w:spacing w:line="260" w:lineRule="exact"/>
              <w:rPr>
                <w:rFonts w:hint="eastAsia" w:asciiTheme="minorEastAsia" w:hAnsiTheme="minorEastAsia" w:eastAsiaTheme="minorEastAsia" w:cstheme="minorEastAsia"/>
                <w:color w:val="auto"/>
                <w:kern w:val="0"/>
                <w:sz w:val="21"/>
                <w:szCs w:val="21"/>
              </w:rPr>
            </w:pP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04CDB295">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每个无组织监测点位监测1小时均值</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29AEC848">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《大气污染物无组织排放监测技术导则》（HJ/T 55-2000）</w:t>
            </w: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A2502F">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7E7059FF">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无组织1项：非甲烷总烃</w:t>
            </w:r>
          </w:p>
        </w:tc>
      </w:tr>
      <w:tr w14:paraId="5534F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412" w:type="dxa"/>
            <w:vMerge w:val="restart"/>
            <w:tcBorders>
              <w:top w:val="single" w:color="000000" w:sz="4" w:space="0"/>
              <w:left w:val="single" w:color="000000" w:sz="4" w:space="0"/>
              <w:right w:val="single" w:color="000000" w:sz="4" w:space="0"/>
            </w:tcBorders>
            <w:noWrap w:val="0"/>
            <w:vAlign w:val="center"/>
          </w:tcPr>
          <w:p w14:paraId="77D19696">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10</w:t>
            </w:r>
          </w:p>
        </w:tc>
        <w:tc>
          <w:tcPr>
            <w:tcW w:w="1473" w:type="dxa"/>
            <w:vMerge w:val="restart"/>
            <w:tcBorders>
              <w:top w:val="single" w:color="000000" w:sz="4" w:space="0"/>
              <w:left w:val="single" w:color="000000" w:sz="4" w:space="0"/>
              <w:right w:val="single" w:color="000000" w:sz="4" w:space="0"/>
            </w:tcBorders>
            <w:noWrap w:val="0"/>
            <w:vAlign w:val="center"/>
          </w:tcPr>
          <w:p w14:paraId="78DAE288">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i w:val="0"/>
                <w:iCs w:val="0"/>
                <w:color w:val="auto"/>
                <w:sz w:val="21"/>
                <w:szCs w:val="21"/>
                <w:u w:val="none"/>
                <w:lang w:eastAsia="zh-CN"/>
              </w:rPr>
              <w:t>臭气浓度监测</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6E2F484C">
            <w:pPr>
              <w:spacing w:line="260" w:lineRule="exact"/>
              <w:rPr>
                <w:rFonts w:hint="eastAsia" w:asciiTheme="minorEastAsia" w:hAnsiTheme="minorEastAsia" w:eastAsiaTheme="minorEastAsia" w:cstheme="minorEastAsia"/>
                <w:i w:val="0"/>
                <w:iCs w:val="0"/>
                <w:color w:val="auto"/>
                <w:sz w:val="21"/>
                <w:szCs w:val="21"/>
                <w:u w:val="none"/>
                <w:lang w:val="en-US" w:eastAsia="zh-CN"/>
              </w:rPr>
            </w:pPr>
            <w:r>
              <w:rPr>
                <w:rFonts w:hint="eastAsia" w:asciiTheme="minorEastAsia" w:hAnsiTheme="minorEastAsia" w:eastAsiaTheme="minorEastAsia" w:cstheme="minorEastAsia"/>
                <w:i w:val="0"/>
                <w:iCs w:val="0"/>
                <w:color w:val="auto"/>
                <w:sz w:val="21"/>
                <w:szCs w:val="21"/>
                <w:u w:val="none"/>
                <w:lang w:val="en-US" w:eastAsia="zh-CN"/>
              </w:rPr>
              <w:t>每个排气筒监测3次</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253D196F">
            <w:pPr>
              <w:spacing w:line="260" w:lineRule="exact"/>
              <w:rPr>
                <w:rFonts w:hint="eastAsia" w:asciiTheme="minorEastAsia" w:hAnsiTheme="minorEastAsia" w:eastAsiaTheme="minorEastAsia" w:cstheme="minorEastAsia"/>
                <w:i w:val="0"/>
                <w:iCs w:val="0"/>
                <w:color w:val="auto"/>
                <w:sz w:val="21"/>
                <w:szCs w:val="21"/>
                <w:u w:val="none"/>
                <w:lang w:val="en-US" w:eastAsia="zh-CN"/>
              </w:rPr>
            </w:pPr>
            <w:r>
              <w:rPr>
                <w:rFonts w:hint="eastAsia" w:asciiTheme="minorEastAsia" w:hAnsiTheme="minorEastAsia" w:eastAsiaTheme="minorEastAsia" w:cstheme="minorEastAsia"/>
                <w:i w:val="0"/>
                <w:iCs w:val="0"/>
                <w:color w:val="auto"/>
                <w:sz w:val="21"/>
                <w:szCs w:val="21"/>
                <w:u w:val="none"/>
                <w:lang w:val="en-US" w:eastAsia="zh-CN"/>
              </w:rPr>
              <w:t>《恶臭污染物排放标准》（GB 14554-93）</w:t>
            </w:r>
          </w:p>
        </w:tc>
        <w:tc>
          <w:tcPr>
            <w:tcW w:w="1692" w:type="dxa"/>
            <w:vMerge w:val="restart"/>
            <w:tcBorders>
              <w:top w:val="single" w:color="000000" w:sz="4" w:space="0"/>
              <w:left w:val="single" w:color="000000" w:sz="4" w:space="0"/>
              <w:right w:val="single" w:color="000000" w:sz="4" w:space="0"/>
            </w:tcBorders>
            <w:noWrap w:val="0"/>
            <w:vAlign w:val="center"/>
          </w:tcPr>
          <w:p w14:paraId="535B4711">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i w:val="0"/>
                <w:iCs w:val="0"/>
                <w:color w:val="auto"/>
                <w:sz w:val="21"/>
                <w:szCs w:val="21"/>
                <w:u w:val="none"/>
                <w:lang w:val="en-US" w:eastAsia="zh-CN"/>
              </w:rPr>
              <w:t>详见附表1</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0CF6431B">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有组织10项:</w:t>
            </w:r>
            <w:r>
              <w:rPr>
                <w:rFonts w:hint="eastAsia" w:asciiTheme="minorEastAsia" w:hAnsiTheme="minorEastAsia" w:eastAsiaTheme="minorEastAsia" w:cstheme="minorEastAsia"/>
                <w:i w:val="0"/>
                <w:iCs w:val="0"/>
                <w:color w:val="auto"/>
                <w:kern w:val="0"/>
                <w:sz w:val="21"/>
                <w:szCs w:val="21"/>
                <w:u w:val="none"/>
                <w:lang w:val="en-US" w:eastAsia="zh-CN" w:bidi="ar"/>
              </w:rPr>
              <w:t>标杆流量、氨、三甲胺、硫化氢、甲硫醇、甲硫醚、二甲二硫醚、二硫化碳、苯乙烯、臭气浓度</w:t>
            </w:r>
          </w:p>
        </w:tc>
      </w:tr>
      <w:tr w14:paraId="43321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412" w:type="dxa"/>
            <w:vMerge w:val="continue"/>
            <w:tcBorders>
              <w:left w:val="single" w:color="000000" w:sz="4" w:space="0"/>
              <w:bottom w:val="single" w:color="000000" w:sz="4" w:space="0"/>
              <w:right w:val="single" w:color="000000" w:sz="4" w:space="0"/>
            </w:tcBorders>
            <w:noWrap w:val="0"/>
            <w:vAlign w:val="center"/>
          </w:tcPr>
          <w:p w14:paraId="5010B700">
            <w:pPr>
              <w:spacing w:line="260" w:lineRule="exact"/>
              <w:rPr>
                <w:rFonts w:hint="eastAsia" w:asciiTheme="minorEastAsia" w:hAnsiTheme="minorEastAsia" w:eastAsiaTheme="minorEastAsia" w:cstheme="minorEastAsia"/>
                <w:color w:val="auto"/>
                <w:kern w:val="0"/>
                <w:sz w:val="21"/>
                <w:szCs w:val="21"/>
                <w:lang w:val="en-US" w:eastAsia="zh-CN"/>
              </w:rPr>
            </w:pPr>
          </w:p>
        </w:tc>
        <w:tc>
          <w:tcPr>
            <w:tcW w:w="1473" w:type="dxa"/>
            <w:vMerge w:val="continue"/>
            <w:tcBorders>
              <w:left w:val="single" w:color="000000" w:sz="4" w:space="0"/>
              <w:bottom w:val="single" w:color="000000" w:sz="4" w:space="0"/>
              <w:right w:val="single" w:color="000000" w:sz="4" w:space="0"/>
            </w:tcBorders>
            <w:noWrap w:val="0"/>
            <w:vAlign w:val="center"/>
          </w:tcPr>
          <w:p w14:paraId="504C28D4">
            <w:pPr>
              <w:spacing w:line="260" w:lineRule="exact"/>
              <w:rPr>
                <w:rFonts w:hint="eastAsia" w:asciiTheme="minorEastAsia" w:hAnsiTheme="minorEastAsia" w:eastAsiaTheme="minorEastAsia" w:cstheme="minorEastAsia"/>
                <w:i w:val="0"/>
                <w:iCs w:val="0"/>
                <w:color w:val="auto"/>
                <w:sz w:val="21"/>
                <w:szCs w:val="21"/>
                <w:u w:val="none"/>
                <w:lang w:eastAsia="zh-CN"/>
              </w:rPr>
            </w:pP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6D02A3CD">
            <w:pPr>
              <w:spacing w:line="260" w:lineRule="exact"/>
              <w:rPr>
                <w:rFonts w:hint="eastAsia" w:asciiTheme="minorEastAsia" w:hAnsiTheme="minorEastAsia" w:eastAsiaTheme="minorEastAsia" w:cstheme="minorEastAsia"/>
                <w:i w:val="0"/>
                <w:iCs w:val="0"/>
                <w:color w:val="auto"/>
                <w:sz w:val="21"/>
                <w:szCs w:val="21"/>
                <w:u w:val="none"/>
                <w:lang w:val="en-US" w:eastAsia="zh-CN"/>
              </w:rPr>
            </w:pPr>
            <w:r>
              <w:rPr>
                <w:rFonts w:hint="eastAsia" w:asciiTheme="minorEastAsia" w:hAnsiTheme="minorEastAsia" w:eastAsiaTheme="minorEastAsia" w:cstheme="minorEastAsia"/>
                <w:i w:val="0"/>
                <w:iCs w:val="0"/>
                <w:color w:val="auto"/>
                <w:sz w:val="21"/>
                <w:szCs w:val="21"/>
                <w:u w:val="none"/>
                <w:lang w:val="en-US" w:eastAsia="zh-CN"/>
              </w:rPr>
              <w:t>每个无组织监测点位监测4次</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0668A764">
            <w:pPr>
              <w:spacing w:line="260" w:lineRule="exact"/>
              <w:rPr>
                <w:rFonts w:hint="eastAsia" w:asciiTheme="minorEastAsia" w:hAnsiTheme="minorEastAsia" w:eastAsiaTheme="minorEastAsia" w:cstheme="minorEastAsia"/>
                <w:i w:val="0"/>
                <w:iCs w:val="0"/>
                <w:color w:val="auto"/>
                <w:sz w:val="21"/>
                <w:szCs w:val="21"/>
                <w:u w:val="none"/>
                <w:lang w:val="en-US" w:eastAsia="zh-CN"/>
              </w:rPr>
            </w:pPr>
            <w:r>
              <w:rPr>
                <w:rFonts w:hint="eastAsia" w:asciiTheme="minorEastAsia" w:hAnsiTheme="minorEastAsia" w:eastAsiaTheme="minorEastAsia" w:cstheme="minorEastAsia"/>
                <w:i w:val="0"/>
                <w:iCs w:val="0"/>
                <w:color w:val="auto"/>
                <w:sz w:val="21"/>
                <w:szCs w:val="21"/>
                <w:u w:val="none"/>
                <w:lang w:val="en-US" w:eastAsia="zh-CN"/>
              </w:rPr>
              <w:t>《恶臭污染物排放标准》（GB 14554-93）</w:t>
            </w:r>
          </w:p>
        </w:tc>
        <w:tc>
          <w:tcPr>
            <w:tcW w:w="1692" w:type="dxa"/>
            <w:vMerge w:val="continue"/>
            <w:tcBorders>
              <w:left w:val="single" w:color="000000" w:sz="4" w:space="0"/>
              <w:bottom w:val="single" w:color="000000" w:sz="4" w:space="0"/>
              <w:right w:val="single" w:color="000000" w:sz="4" w:space="0"/>
            </w:tcBorders>
            <w:noWrap w:val="0"/>
            <w:vAlign w:val="center"/>
          </w:tcPr>
          <w:p w14:paraId="084A8EF1">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65C95232">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无组织9项:</w:t>
            </w:r>
            <w:r>
              <w:rPr>
                <w:rFonts w:hint="eastAsia" w:asciiTheme="minorEastAsia" w:hAnsiTheme="minorEastAsia" w:eastAsiaTheme="minorEastAsia" w:cstheme="minorEastAsia"/>
                <w:i w:val="0"/>
                <w:iCs w:val="0"/>
                <w:color w:val="auto"/>
                <w:kern w:val="0"/>
                <w:sz w:val="21"/>
                <w:szCs w:val="21"/>
                <w:u w:val="none"/>
                <w:lang w:val="en-US" w:eastAsia="zh-CN" w:bidi="ar"/>
              </w:rPr>
              <w:t>、氨、三甲胺、硫化氢、甲硫醇、甲硫醚、二甲二硫醚、二硫化碳、苯乙烯、臭气浓度</w:t>
            </w:r>
          </w:p>
        </w:tc>
      </w:tr>
      <w:tr w14:paraId="776C7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59071414">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11</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601E6D0E">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加油站</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2D0F64DA">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每个加油监测一次</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3525493E">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《加油站大气污染物排放标准》（GB20952—2020）、《固定源废气监测技术规范》（HJ /T 397-2007）及《大气污染物无组织排放监测技术导则》（HJ/T 55-2000）</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14:paraId="28F553D1">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《加油站大气污染物排放标准》（GB20952—2020）附录方法，详见附表1</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05EC5337">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6项：加油油气回收管线液阻值、油气回收系统密闭性压力检测值、加油油气回收系统的气液比、油气处理装置排放浓度、油气回收系统密封点位油气泄漏浓度（使用氢火焰离子化检测仪）、加油站边界浓度</w:t>
            </w:r>
          </w:p>
        </w:tc>
      </w:tr>
      <w:tr w14:paraId="2A5C5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7256765D">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12</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67493CDE">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一般涉土壤企业</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0A27269E">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每个企业监测一次</w:t>
            </w:r>
          </w:p>
        </w:tc>
        <w:tc>
          <w:tcPr>
            <w:tcW w:w="1964" w:type="dxa"/>
            <w:vMerge w:val="restart"/>
            <w:tcBorders>
              <w:top w:val="single" w:color="000000" w:sz="4" w:space="0"/>
              <w:left w:val="single" w:color="000000" w:sz="4" w:space="0"/>
              <w:bottom w:val="single" w:color="000000" w:sz="4" w:space="0"/>
              <w:right w:val="single" w:color="000000" w:sz="4" w:space="0"/>
            </w:tcBorders>
            <w:noWrap w:val="0"/>
            <w:vAlign w:val="center"/>
          </w:tcPr>
          <w:p w14:paraId="181883F5">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《土壤环境质量 建设用地土壤污染风险管控标准（试行）》（GB 36600-2018）</w:t>
            </w:r>
          </w:p>
        </w:tc>
        <w:tc>
          <w:tcPr>
            <w:tcW w:w="1692" w:type="dxa"/>
            <w:vMerge w:val="restart"/>
            <w:tcBorders>
              <w:top w:val="single" w:color="000000" w:sz="4" w:space="0"/>
              <w:left w:val="single" w:color="000000" w:sz="4" w:space="0"/>
              <w:bottom w:val="single" w:color="000000" w:sz="4" w:space="0"/>
              <w:right w:val="single" w:color="000000" w:sz="4" w:space="0"/>
            </w:tcBorders>
            <w:noWrap w:val="0"/>
            <w:vAlign w:val="center"/>
          </w:tcPr>
          <w:p w14:paraId="044BB8EC">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《土壤环境质量 建设用地土壤污染风险管控标准（试行）》（GB 36600-2018）推荐方法，详见附表2</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6B923CEC">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8项：铜、砷、铬、铅、锌、六价铬、汞、镉等</w:t>
            </w:r>
          </w:p>
        </w:tc>
      </w:tr>
      <w:tr w14:paraId="09A85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6289D970">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13</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35C6C84D">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垃圾焚烧厂或填埋厂</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521BCB31">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每个企业监测一次</w:t>
            </w:r>
          </w:p>
        </w:tc>
        <w:tc>
          <w:tcPr>
            <w:tcW w:w="19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8BB964">
            <w:pPr>
              <w:spacing w:line="260" w:lineRule="exact"/>
              <w:rPr>
                <w:rFonts w:hint="eastAsia" w:asciiTheme="minorEastAsia" w:hAnsiTheme="minorEastAsia" w:eastAsiaTheme="minorEastAsia" w:cstheme="minorEastAsia"/>
                <w:color w:val="auto"/>
                <w:kern w:val="0"/>
                <w:sz w:val="21"/>
                <w:szCs w:val="21"/>
              </w:rPr>
            </w:pPr>
          </w:p>
        </w:tc>
        <w:tc>
          <w:tcPr>
            <w:tcW w:w="16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D0412B">
            <w:pPr>
              <w:spacing w:line="260" w:lineRule="exact"/>
              <w:rPr>
                <w:rFonts w:hint="eastAsia" w:asciiTheme="minorEastAsia" w:hAnsiTheme="minorEastAsia" w:eastAsiaTheme="minorEastAsia" w:cstheme="minorEastAsia"/>
                <w:color w:val="auto"/>
                <w:kern w:val="0"/>
                <w:sz w:val="21"/>
                <w:szCs w:val="21"/>
              </w:rPr>
            </w:pP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4362D965">
            <w:pPr>
              <w:spacing w:line="260" w:lineRule="exac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（GB 36600-2018）中表1所列45项</w:t>
            </w:r>
          </w:p>
        </w:tc>
      </w:tr>
      <w:tr w14:paraId="6F668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38629463">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14</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58B0A1D1">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危险废物鉴别</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47CAA625">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有危险废物违法及刑行衔接案件时监测</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18F87DFF">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《危险废物鉴别技术规范》（HJ298-2019）</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14:paraId="0E444B45">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《危险废物鉴别标准》（GB5085.1-7)</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32A55BD1">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3项：腐蚀性鉴定、浸出毒性鉴别、易燃性鉴别</w:t>
            </w:r>
          </w:p>
        </w:tc>
      </w:tr>
      <w:tr w14:paraId="45B38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7" w:hRule="atLeast"/>
          <w:jc w:val="center"/>
        </w:trPr>
        <w:tc>
          <w:tcPr>
            <w:tcW w:w="412" w:type="dxa"/>
            <w:tcBorders>
              <w:top w:val="single" w:color="000000" w:sz="4" w:space="0"/>
              <w:left w:val="single" w:color="000000" w:sz="4" w:space="0"/>
              <w:bottom w:val="single" w:color="000000" w:sz="4" w:space="0"/>
              <w:right w:val="single" w:color="000000" w:sz="4" w:space="0"/>
            </w:tcBorders>
            <w:noWrap w:val="0"/>
            <w:vAlign w:val="center"/>
          </w:tcPr>
          <w:p w14:paraId="14B428DD">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15</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14:paraId="4C02DA2C">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建筑工地、住宅、工业企业</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14:paraId="26C8FA19">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每个企业监测一次</w:t>
            </w:r>
          </w:p>
        </w:tc>
        <w:tc>
          <w:tcPr>
            <w:tcW w:w="1964" w:type="dxa"/>
            <w:tcBorders>
              <w:top w:val="single" w:color="000000" w:sz="4" w:space="0"/>
              <w:left w:val="single" w:color="000000" w:sz="4" w:space="0"/>
              <w:bottom w:val="single" w:color="000000" w:sz="4" w:space="0"/>
              <w:right w:val="single" w:color="000000" w:sz="4" w:space="0"/>
            </w:tcBorders>
            <w:noWrap w:val="0"/>
            <w:vAlign w:val="center"/>
          </w:tcPr>
          <w:p w14:paraId="565D4344">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《建筑施工场界环境噪声排放标准》（GB 12523-2011）、《工业企业厂界环境噪声排放标准》（GB 12348-2008）、《环境噪声监测技术规范 噪声测量值修正》（HJ 706-2014）</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14:paraId="0B545588">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《建筑施工场界环境噪声排放标准》（GB 12523-2011）、《工业企业厂界环境噪声排放标准》（GB 12348-2008）</w:t>
            </w:r>
          </w:p>
        </w:tc>
        <w:tc>
          <w:tcPr>
            <w:tcW w:w="3102" w:type="dxa"/>
            <w:tcBorders>
              <w:top w:val="single" w:color="000000" w:sz="4" w:space="0"/>
              <w:left w:val="single" w:color="000000" w:sz="4" w:space="0"/>
              <w:bottom w:val="single" w:color="000000" w:sz="4" w:space="0"/>
              <w:right w:val="single" w:color="000000" w:sz="4" w:space="0"/>
            </w:tcBorders>
            <w:noWrap w:val="0"/>
            <w:vAlign w:val="center"/>
          </w:tcPr>
          <w:p w14:paraId="1A0B97C0">
            <w:pPr>
              <w:spacing w:line="260" w:lineRule="exact"/>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噪声分贝值</w:t>
            </w:r>
          </w:p>
        </w:tc>
      </w:tr>
    </w:tbl>
    <w:p w14:paraId="18E25A2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kern w:val="0"/>
          <w:sz w:val="21"/>
          <w:szCs w:val="21"/>
          <w:highlight w:val="none"/>
          <w:lang w:val="en-US" w:eastAsia="zh-CN" w:bidi="ar"/>
        </w:rPr>
      </w:pPr>
      <w:bookmarkStart w:id="10" w:name="_Toc31731"/>
      <w:r>
        <w:rPr>
          <w:rFonts w:hint="eastAsia" w:cs="宋体"/>
          <w:b w:val="0"/>
          <w:bCs w:val="0"/>
          <w:color w:val="auto"/>
          <w:kern w:val="0"/>
          <w:sz w:val="21"/>
          <w:szCs w:val="21"/>
          <w:highlight w:val="none"/>
          <w:lang w:val="en-US" w:eastAsia="zh-CN" w:bidi="ar"/>
        </w:rPr>
        <w:t>4、</w:t>
      </w:r>
      <w:r>
        <w:rPr>
          <w:rFonts w:hint="eastAsia" w:ascii="宋体" w:hAnsi="宋体" w:eastAsia="宋体" w:cs="宋体"/>
          <w:b w:val="0"/>
          <w:bCs w:val="0"/>
          <w:color w:val="auto"/>
          <w:kern w:val="0"/>
          <w:sz w:val="21"/>
          <w:szCs w:val="21"/>
          <w:highlight w:val="none"/>
          <w:lang w:val="en-US" w:eastAsia="zh-CN" w:bidi="ar"/>
        </w:rPr>
        <w:t>委托要求</w:t>
      </w:r>
      <w:bookmarkEnd w:id="10"/>
    </w:p>
    <w:p w14:paraId="09E39C1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1、乙方应具有相应的监测资质，并有相关的工作业绩，相关监测人员有与本次监测指标相关的上岗证书。</w:t>
      </w:r>
    </w:p>
    <w:p w14:paraId="7D169EA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、质量标准：</w:t>
      </w:r>
    </w:p>
    <w:p w14:paraId="1F8FEA0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（1）乙方应依据《检验检测机构资质认定能力评价检验检测机构通用要求》（RB/T 214-2017）、《检验检测机构资质认定生态环境监测机构评审补充要求》（市场监管总局 国市监检测〔2018〕245 号）、《环境监测质量管理技术导则》（HJ630-2011）、《固定污染源监测质量保证与质量控制技术规范（试行）》 (HJT 373-2007)以及相应标准分析方法的规定和要求，做好监测、分析全程序质控工作，包括采样质量控制和实验室分析质量控制等相关内容，按照相关技术规范要求进行样品保存。应确保监测数据真实可靠，严禁监测弄虚作假。</w:t>
      </w:r>
    </w:p>
    <w:p w14:paraId="373C31B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内部质控：①现场监测需遵守监测技术规范要求，pH、溶解氧、水温需现场测定，同时做好现场设备校准，需按照每批次10%的比例采集全程序空白样、现场明码、密码平行样等现场质控样品；②实验室分析每批次需按照10%的比例开展实验室空白、平行样、加标样或明码、密码质控样等自控程序，做好分析质量保证工作，质控数据需满足项目标准方法中质控结果要求。</w:t>
      </w:r>
    </w:p>
    <w:p w14:paraId="61BD75E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外部质控：与市环境监测站不定期开展实验室间同步比对工作，比对结果需满足实验室间偏差要求，否则应查找原因，及时开展复测等工作；需接受市监测站不定期质控检查和盲样考核，对发现的问题进行及时整改。</w:t>
      </w:r>
    </w:p>
    <w:p w14:paraId="5D1741E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对于现场监测中的重要环节要拍照（含时间印记和经纬度）和录像记录，如现场测定测定pH等项目、样品前处理、分装样品、添加保护剂、保存等环节；实验室分析应全程录像，录像承接单位应自行永久保存录像，以备检查。</w:t>
      </w:r>
    </w:p>
    <w:p w14:paraId="0C0A934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（5）项目验收前，乙方需将报告及原始记录清晰扫描后，按照报告数量进行整理后提交给甲方。</w:t>
      </w:r>
    </w:p>
    <w:p w14:paraId="4FC5DE8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西安市生态环境保护综合执法支队应提前将执法监测企业名单、监测时间等具体要求通知乙方。若甲方在监测前一天通知乙方，则乙方应在收到通知后于8个小时内做好监测相关准备；若甲方在监测当天通知乙方，则乙方应在收到通知后于3个小时内做好监测相关准备。</w:t>
      </w:r>
    </w:p>
    <w:p w14:paraId="39B9A0B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、监测现场需要乙方和被测单位以及市生态环境保护综合执法支队在现场采样表上签字确认。</w:t>
      </w:r>
    </w:p>
    <w:p w14:paraId="1815E9A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 xml:space="preserve">、承接单位需按照西安市生态环境保护综合执法支队的要求及时提供监测报告正本一份及电子版扫描件资料文件（监测报告、原始记录、现场监测照片、现场三方签字确认表等表格）给市生态环境保护综合执法支队留存。对于时间紧迫的执法监测或专项检查监测，乙方应及时配合完成监测并提供监测报告。   </w:t>
      </w:r>
    </w:p>
    <w:p w14:paraId="49BE2F1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bookmarkStart w:id="11" w:name="_Toc29490"/>
      <w:r>
        <w:rPr>
          <w:rFonts w:hint="eastAsia"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、监测报告中须对监测的指标对照相应标准进行结果评价；</w:t>
      </w:r>
      <w:bookmarkEnd w:id="11"/>
    </w:p>
    <w:p w14:paraId="5EEDB02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、对于超标或异常情况结果，乙方应及时提出，是否复测由甲方决定。由于乙方原因导致监测数据无效时，需及时进行免费复测。因甲方要求而开展的复测，其监测费用按工作量及投标报价计算，由甲方支付。</w:t>
      </w:r>
    </w:p>
    <w:p w14:paraId="70B3844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、乙方应确保监测数据真实可靠，严谨监测弄虚作假，由于乙方自身原因引起的纠纷及法律责任由承接单位承担；委托方若发现数据的弄虚作假问题，可随时要求终止合同</w:t>
      </w:r>
      <w:r>
        <w:rPr>
          <w:rFonts w:hint="eastAsia" w:ascii="宋体" w:hAnsi="宋体" w:eastAsia="宋体" w:cs="宋体"/>
          <w:color w:val="auto"/>
          <w:kern w:val="0"/>
          <w:sz w:val="21"/>
          <w:szCs w:val="21"/>
          <w:highlight w:val="none"/>
          <w:lang w:val="en-US" w:eastAsia="zh-CN" w:bidi="ar"/>
        </w:rPr>
        <w:fldChar w:fldCharType="begin"/>
      </w:r>
      <w:r>
        <w:rPr>
          <w:rFonts w:hint="eastAsia" w:ascii="宋体" w:hAnsi="宋体" w:eastAsia="宋体" w:cs="宋体"/>
          <w:color w:val="auto"/>
          <w:kern w:val="0"/>
          <w:sz w:val="21"/>
          <w:szCs w:val="21"/>
          <w:highlight w:val="none"/>
          <w:lang w:val="en-US" w:eastAsia="zh-CN" w:bidi="ar"/>
        </w:rPr>
        <w:instrText xml:space="preserve">HYPERLINK "http://www.baidu.com/link?url=3fzjnenSlQY446HZkDkQwWEmiJQtdHZxw2cSenqAxH6_2b4bgH1ZQt2LtEPHwCZpYirACx1TA_C41Lbx54uSjmFM36KgmCDbTkR5PiYs13a" \t "_blank"</w:instrText>
      </w:r>
      <w:r>
        <w:rPr>
          <w:rFonts w:hint="eastAsia" w:ascii="宋体" w:hAnsi="宋体" w:eastAsia="宋体" w:cs="宋体"/>
          <w:color w:val="auto"/>
          <w:kern w:val="0"/>
          <w:sz w:val="21"/>
          <w:szCs w:val="21"/>
          <w:highlight w:val="none"/>
          <w:lang w:val="en-US" w:eastAsia="zh-CN" w:bidi="ar"/>
        </w:rPr>
        <w:fldChar w:fldCharType="separate"/>
      </w:r>
      <w:r>
        <w:rPr>
          <w:rFonts w:hint="eastAsia" w:ascii="宋体" w:hAnsi="宋体" w:eastAsia="宋体" w:cs="宋体"/>
          <w:color w:val="auto"/>
          <w:kern w:val="0"/>
          <w:sz w:val="21"/>
          <w:szCs w:val="21"/>
          <w:highlight w:val="none"/>
          <w:lang w:val="en-US" w:eastAsia="zh-CN" w:bidi="ar"/>
        </w:rPr>
        <w:t>并追究其法律责任的权</w:t>
      </w:r>
      <w:r>
        <w:rPr>
          <w:rFonts w:hint="eastAsia" w:ascii="宋体" w:hAnsi="宋体" w:eastAsia="宋体" w:cs="宋体"/>
          <w:color w:val="auto"/>
          <w:kern w:val="0"/>
          <w:sz w:val="21"/>
          <w:szCs w:val="21"/>
          <w:highlight w:val="none"/>
          <w:lang w:val="en-US" w:eastAsia="zh-CN" w:bidi="ar"/>
        </w:rPr>
        <w:fldChar w:fldCharType="end"/>
      </w:r>
      <w:r>
        <w:rPr>
          <w:rFonts w:hint="eastAsia" w:ascii="宋体" w:hAnsi="宋体" w:eastAsia="宋体" w:cs="宋体"/>
          <w:color w:val="auto"/>
          <w:kern w:val="0"/>
          <w:sz w:val="21"/>
          <w:szCs w:val="21"/>
          <w:highlight w:val="none"/>
          <w:lang w:val="en-US" w:eastAsia="zh-CN" w:bidi="ar"/>
        </w:rPr>
        <w:t>利。</w:t>
      </w:r>
    </w:p>
    <w:p w14:paraId="33EB080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乙方应具有检验检测机构资质认定(CMA) 证书，（具备本次委托所涉及的所有监测项目检验检测能力的单位可自行检测；不具备废水监测、废气监测、土壤和危废监测、噪声监测项目检验检测能力的，可委托给具备相应检验检测能力的单位（提供委托协议签字盖章扫描件及被委托单位的检验检测机构资质认定(CMA) 证书等证明材料））。</w:t>
      </w:r>
    </w:p>
    <w:p w14:paraId="1728EDAD">
      <w:pPr>
        <w:keepNext w:val="0"/>
        <w:keepLines w:val="0"/>
        <w:pageBreakBefore w:val="0"/>
        <w:widowControl/>
        <w:numPr>
          <w:ilvl w:val="0"/>
          <w:numId w:val="1"/>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双方的权利和义务 </w:t>
      </w:r>
    </w:p>
    <w:p w14:paraId="47C76CA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（一）甲方的权利与义务 </w:t>
      </w:r>
    </w:p>
    <w:p w14:paraId="123F976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1.甲方负责配合本次项目服务工作；</w:t>
      </w:r>
    </w:p>
    <w:p w14:paraId="1F76BB9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2.甲方应按本合同的约定向乙方支付合同价款；</w:t>
      </w:r>
    </w:p>
    <w:p w14:paraId="0581632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3.甲方根据需要对乙方提供的方案进行审核，提供建议及意见，确定最终实施的服务方案，以便乙方遵照执行；</w:t>
      </w:r>
    </w:p>
    <w:p w14:paraId="0CFB7E7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4.甲方有权对乙方的工作进行监督和考核。</w:t>
      </w:r>
    </w:p>
    <w:p w14:paraId="2440154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5.乙方的监测数据未经允许私自外泄，甲方可根据实际情况要求赔偿并予以处罚。 </w:t>
      </w:r>
    </w:p>
    <w:p w14:paraId="520CA8B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（二）乙方的权利与义务 </w:t>
      </w:r>
    </w:p>
    <w:p w14:paraId="0B1656E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1.乙方的工作人员必须严格遵守甲方的规章制度，以良好的形象和积极的工作态度，按甲方要求开展工作；</w:t>
      </w:r>
    </w:p>
    <w:p w14:paraId="3E1D75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2.乙方应服从甲方统筹管理并按流程开展工作；</w:t>
      </w:r>
    </w:p>
    <w:p w14:paraId="37C882A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3.乙方保证安排的相关人员需按照指定时间到达指定地点进行服务，乙方在活动时间内不得迟到早退，如有特殊情况，必须事先通知并征得甲方同意；</w:t>
      </w:r>
    </w:p>
    <w:p w14:paraId="1156711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4.乙方提交的方案等应得到甲方确认再予以实施。 </w:t>
      </w:r>
    </w:p>
    <w:p w14:paraId="0C25802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七、服务质量保证 </w:t>
      </w:r>
    </w:p>
    <w:p w14:paraId="240BBF0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1.乙方需建立高效的管理团队，项目团队组成合理。 </w:t>
      </w:r>
    </w:p>
    <w:p w14:paraId="698F8A4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2.乙方需派一名项目负责人，直接与甲方沟通，项目经理接收甲方提出的问题与要求，并及时反馈给工作组，解决在项目实施过程中遇到的问题。 </w:t>
      </w:r>
    </w:p>
    <w:p w14:paraId="3121A48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3.项目在实施过程中会出现不可预料的需求变更，乙方需积极配合甲方的需求变更，并按照变更后的需求继续实施。 </w:t>
      </w:r>
    </w:p>
    <w:p w14:paraId="34A9252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4.乙方需设有详细的技术资料档案和服务档案以便于更好地提供服务，项目结束后乙方须向甲方提交所有实施方案流程及说明文档。 </w:t>
      </w:r>
    </w:p>
    <w:p w14:paraId="67CE036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八、保密规定 </w:t>
      </w:r>
    </w:p>
    <w:p w14:paraId="3AE7773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甲、乙双方应永久恪守因签署或履行本合同而获知的对方秘密信息及其它秘密资料。任何一方如将获知的对方秘密信息泄露给第三方，应赔偿因泄密而给对方造成的一切损失并承担相应的法律责任（包括刑事责任）。 </w:t>
      </w:r>
    </w:p>
    <w:p w14:paraId="7D66B37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九、其他事项 </w:t>
      </w:r>
    </w:p>
    <w:p w14:paraId="5EA35FB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1.乙方不得转让给其它单位或个人。 </w:t>
      </w:r>
    </w:p>
    <w:p w14:paraId="6737663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2.乙方的响应文件和承诺等内容将列入合同。 </w:t>
      </w:r>
    </w:p>
    <w:p w14:paraId="57A548C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十、验收 </w:t>
      </w:r>
    </w:p>
    <w:p w14:paraId="2394FF3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（一）本项目验收费用，由乙方自行承担。 </w:t>
      </w:r>
    </w:p>
    <w:p w14:paraId="35D6903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二）服务期满后，由乙方向甲方递交验收通知书，经甲方确认后，组织乙方进行系统验收（必要时甲方可委托技术专家对本次服务进行系统验收）。验收合格后，填写政府采购项目验收单作为对本次服务的最终认可。 </w:t>
      </w:r>
    </w:p>
    <w:p w14:paraId="101C65D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（三）验收依据： </w:t>
      </w:r>
    </w:p>
    <w:p w14:paraId="3745A28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（1）本合同及附加文本； </w:t>
      </w:r>
    </w:p>
    <w:p w14:paraId="15F08EC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（2）磋商文件、成交供应商的响应文件及澄清（承诺）函； </w:t>
      </w:r>
    </w:p>
    <w:p w14:paraId="1538BC8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（3）国家相应的标准、规范；</w:t>
      </w:r>
    </w:p>
    <w:p w14:paraId="2329347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（4）监测报告原件（同时提交扫描件）；</w:t>
      </w:r>
    </w:p>
    <w:p w14:paraId="20628D4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（5）原始记录复印件（同时提交扫描件）；</w:t>
      </w:r>
    </w:p>
    <w:p w14:paraId="52B6B17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kern w:val="0"/>
          <w:sz w:val="21"/>
          <w:szCs w:val="21"/>
          <w:highlight w:val="none"/>
          <w:lang w:val="en-US" w:eastAsia="zh-CN" w:bidi="ar"/>
        </w:rPr>
        <w:t>（6）验收报告（含质控措施开展情况，仪器、人员合规情况等能够证明合同履约情况的说明及附件）。</w:t>
      </w:r>
      <w:r>
        <w:rPr>
          <w:rFonts w:hint="eastAsia" w:ascii="宋体" w:hAnsi="宋体" w:eastAsia="宋体" w:cs="宋体"/>
          <w:b/>
          <w:bCs/>
          <w:color w:val="auto"/>
          <w:kern w:val="0"/>
          <w:sz w:val="21"/>
          <w:szCs w:val="21"/>
          <w:highlight w:val="none"/>
          <w:lang w:val="en-US" w:eastAsia="zh-CN" w:bidi="ar"/>
        </w:rPr>
        <w:t xml:space="preserve">十一、违约责任 </w:t>
      </w:r>
    </w:p>
    <w:p w14:paraId="6BA811E9">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任何一方未履行本合同项下的条款均被视为违约。除因不可抗力（即因地震、火灾等自然灾害、战争、罢工、停电、政府和军队行为等）造成合同无法履行外，任何一方不得单方面中止合同。</w:t>
      </w:r>
    </w:p>
    <w:p w14:paraId="515B8C35">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任何一方违反合同所规定条款，均构成违约，违约方必须承担由此给对方造成的经济损失。</w:t>
      </w:r>
    </w:p>
    <w:p w14:paraId="1E1A51C0">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乙方在履行本合同中给甲方、自身及第三者造成的任何损害，乙方应承担全部赔偿责任。</w:t>
      </w:r>
    </w:p>
    <w:p w14:paraId="0EE8FB76">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实际监测完成率低于85%的，视为不合格。乙方应当按照合同总价款30%向甲方承担违约责任。如在合同履行过程中，甲方发现乙方监测结果出现质量问题，有权责令乙方在指定期限内予以改正并扣除该次监测费用。甲方发现乙方监测结果弄虚作假的或有严重质量问题的，甲方有权要求乙方返还全部已支付费用并按照总价款30%违约金，同时甲方享有单方解除权。</w:t>
      </w:r>
    </w:p>
    <w:p w14:paraId="77CD5416">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008AB032">
      <w:pPr>
        <w:shd w:val="clear" w:color="auto" w:fill="auto"/>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lang w:eastAsia="zh-CN"/>
        </w:rPr>
        <w:t>、监督和管理</w:t>
      </w:r>
    </w:p>
    <w:p w14:paraId="40808D8F">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1</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政府采购合同履行中，甲方需追加与合同标的相同的工程或者服务的，在不改变合同其他条款的前提下，可以与乙方协商签订补充合同，但所有补充合同的采购金额不得超过原合同采购金额的百分之十。</w:t>
      </w:r>
    </w:p>
    <w:p w14:paraId="5C11380E">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2</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甲乙双方均应自觉配合有关监督管理部门对合同履行情况的监督检查，如实反映情况，提供有关资料；否则，将对有关单位、当事人按照有关规定予以处罚。</w:t>
      </w:r>
    </w:p>
    <w:p w14:paraId="184E557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十三、合同争议解决的方式 </w:t>
      </w:r>
    </w:p>
    <w:p w14:paraId="04AC635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1.本合同须经甲、乙双方的法定代表人（授权代表）在合同书上签字并加盖本单位公章后正式生效。 </w:t>
      </w:r>
    </w:p>
    <w:p w14:paraId="2A44CA8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2.合同生效后，甲、乙双方须严格执行本合同条款的规定，全面履行合同，违者按《中华人民共和国民法典》的有关规定承担相应责任。 </w:t>
      </w:r>
    </w:p>
    <w:p w14:paraId="470652A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双方因履行本合同而引起的争议或与本合同有关的争议，双方通过友好协商解决。协商不成，双方均应向甲方住所地人民法院诉讼解决。</w:t>
      </w:r>
    </w:p>
    <w:p w14:paraId="41A3FBC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份，甲乙双方各执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份。 </w:t>
      </w:r>
    </w:p>
    <w:p w14:paraId="1F94614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5.本合同如有未尽事宜，甲、乙双方协商解决。 </w:t>
      </w:r>
    </w:p>
    <w:p w14:paraId="62336F10">
      <w:pPr>
        <w:shd w:val="clear" w:color="auto" w:fill="auto"/>
        <w:rPr>
          <w:rFonts w:hint="eastAsia" w:ascii="宋体" w:hAnsi="宋体" w:eastAsia="宋体" w:cs="宋体"/>
          <w:color w:val="auto"/>
          <w:sz w:val="21"/>
          <w:szCs w:val="21"/>
          <w:highlight w:val="none"/>
          <w:lang w:eastAsia="zh-CN"/>
        </w:rPr>
      </w:pPr>
    </w:p>
    <w:p w14:paraId="491A4CEA">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以下无正文。</w:t>
      </w:r>
    </w:p>
    <w:p w14:paraId="2FF7A794">
      <w:pPr>
        <w:pStyle w:val="4"/>
        <w:shd w:val="clear" w:color="auto" w:fill="auto"/>
        <w:rPr>
          <w:rFonts w:hint="eastAsia" w:ascii="宋体" w:hAnsi="宋体" w:eastAsia="宋体" w:cs="宋体"/>
          <w:color w:val="auto"/>
          <w:highlight w:val="none"/>
          <w:lang w:val="en-US" w:eastAsia="zh-CN"/>
        </w:rPr>
      </w:pPr>
    </w:p>
    <w:p w14:paraId="6757D068">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u w:val="single"/>
          <w:lang w:eastAsia="zh-CN"/>
        </w:rPr>
        <w:t xml:space="preserve">   （盖章）         </w:t>
      </w:r>
      <w:r>
        <w:rPr>
          <w:rFonts w:hint="eastAsia" w:ascii="宋体" w:hAnsi="宋体" w:eastAsia="宋体" w:cs="宋体"/>
          <w:color w:val="auto"/>
          <w:sz w:val="21"/>
          <w:szCs w:val="21"/>
          <w:highlight w:val="none"/>
          <w:lang w:eastAsia="zh-CN"/>
        </w:rPr>
        <w:t xml:space="preserve">                        乙方：</w:t>
      </w:r>
      <w:r>
        <w:rPr>
          <w:rFonts w:hint="eastAsia" w:ascii="宋体" w:hAnsi="宋体" w:eastAsia="宋体" w:cs="宋体"/>
          <w:color w:val="auto"/>
          <w:sz w:val="21"/>
          <w:szCs w:val="21"/>
          <w:highlight w:val="none"/>
          <w:u w:val="single"/>
          <w:lang w:eastAsia="zh-CN"/>
        </w:rPr>
        <w:t xml:space="preserve">      （盖章）     </w:t>
      </w:r>
    </w:p>
    <w:p w14:paraId="1126AA3B">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地  址：</w:t>
      </w:r>
      <w:r>
        <w:rPr>
          <w:rFonts w:hint="eastAsia" w:ascii="宋体" w:hAnsi="宋体" w:eastAsia="宋体" w:cs="宋体"/>
          <w:color w:val="auto"/>
          <w:sz w:val="21"/>
          <w:szCs w:val="21"/>
          <w:highlight w:val="none"/>
          <w:u w:val="single"/>
          <w:lang w:eastAsia="zh-CN"/>
        </w:rPr>
        <w:t xml:space="preserve">                     </w:t>
      </w:r>
    </w:p>
    <w:p w14:paraId="04670404">
      <w:pPr>
        <w:shd w:val="clear" w:color="auto" w:fill="auto"/>
        <w:adjustRightInd w:val="0"/>
        <w:snapToGrid w:val="0"/>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邮政编码：</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邮政编码：</w:t>
      </w:r>
      <w:r>
        <w:rPr>
          <w:rFonts w:hint="eastAsia" w:ascii="宋体" w:hAnsi="宋体" w:eastAsia="宋体" w:cs="宋体"/>
          <w:color w:val="auto"/>
          <w:sz w:val="21"/>
          <w:szCs w:val="21"/>
          <w:highlight w:val="none"/>
          <w:u w:val="single"/>
          <w:lang w:eastAsia="zh-CN"/>
        </w:rPr>
        <w:t xml:space="preserve">                   </w:t>
      </w:r>
    </w:p>
    <w:p w14:paraId="69C697F3">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法定代表人或其授权                                法定代表人或其授权</w:t>
      </w:r>
    </w:p>
    <w:p w14:paraId="51115F61">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的代理人：</w:t>
      </w:r>
      <w:r>
        <w:rPr>
          <w:rFonts w:hint="eastAsia" w:ascii="宋体" w:hAnsi="宋体" w:eastAsia="宋体" w:cs="宋体"/>
          <w:color w:val="auto"/>
          <w:sz w:val="21"/>
          <w:szCs w:val="21"/>
          <w:highlight w:val="none"/>
          <w:u w:val="single"/>
          <w:lang w:eastAsia="zh-CN"/>
        </w:rPr>
        <w:t xml:space="preserve">（签字或盖章）   </w:t>
      </w:r>
      <w:r>
        <w:rPr>
          <w:rFonts w:hint="eastAsia" w:ascii="宋体" w:hAnsi="宋体" w:eastAsia="宋体" w:cs="宋体"/>
          <w:color w:val="auto"/>
          <w:sz w:val="21"/>
          <w:szCs w:val="21"/>
          <w:highlight w:val="none"/>
          <w:lang w:eastAsia="zh-CN"/>
        </w:rPr>
        <w:t xml:space="preserve">                       的代理人：</w:t>
      </w:r>
      <w:r>
        <w:rPr>
          <w:rFonts w:hint="eastAsia" w:ascii="宋体" w:hAnsi="宋体" w:eastAsia="宋体" w:cs="宋体"/>
          <w:color w:val="auto"/>
          <w:sz w:val="21"/>
          <w:szCs w:val="21"/>
          <w:highlight w:val="none"/>
          <w:u w:val="single"/>
          <w:lang w:eastAsia="zh-CN"/>
        </w:rPr>
        <w:t xml:space="preserve">（签字或盖章）     </w:t>
      </w:r>
    </w:p>
    <w:p w14:paraId="26D72E9F">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开户银行：</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开户银行：</w:t>
      </w:r>
      <w:r>
        <w:rPr>
          <w:rFonts w:hint="eastAsia" w:ascii="宋体" w:hAnsi="宋体" w:eastAsia="宋体" w:cs="宋体"/>
          <w:color w:val="auto"/>
          <w:sz w:val="21"/>
          <w:szCs w:val="21"/>
          <w:highlight w:val="none"/>
          <w:u w:val="single"/>
          <w:lang w:eastAsia="zh-CN"/>
        </w:rPr>
        <w:t xml:space="preserve">                   </w:t>
      </w:r>
    </w:p>
    <w:p w14:paraId="016D4CF2">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账号：</w:t>
      </w:r>
      <w:r>
        <w:rPr>
          <w:rFonts w:hint="eastAsia" w:ascii="宋体" w:hAnsi="宋体" w:eastAsia="宋体" w:cs="宋体"/>
          <w:color w:val="auto"/>
          <w:sz w:val="21"/>
          <w:szCs w:val="21"/>
          <w:highlight w:val="none"/>
          <w:u w:val="single"/>
          <w:lang w:eastAsia="zh-CN"/>
        </w:rPr>
        <w:t xml:space="preserve">                       </w:t>
      </w:r>
    </w:p>
    <w:p w14:paraId="256D4B8A">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电话：</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电话：</w:t>
      </w:r>
      <w:r>
        <w:rPr>
          <w:rFonts w:hint="eastAsia" w:ascii="宋体" w:hAnsi="宋体" w:eastAsia="宋体" w:cs="宋体"/>
          <w:color w:val="auto"/>
          <w:sz w:val="21"/>
          <w:szCs w:val="21"/>
          <w:highlight w:val="none"/>
          <w:u w:val="single"/>
          <w:lang w:eastAsia="zh-CN"/>
        </w:rPr>
        <w:t xml:space="preserve">                       </w:t>
      </w:r>
    </w:p>
    <w:p w14:paraId="25D818E2">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传真：</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传真：</w:t>
      </w:r>
      <w:r>
        <w:rPr>
          <w:rFonts w:hint="eastAsia" w:ascii="宋体" w:hAnsi="宋体" w:eastAsia="宋体" w:cs="宋体"/>
          <w:color w:val="auto"/>
          <w:sz w:val="21"/>
          <w:szCs w:val="21"/>
          <w:highlight w:val="none"/>
          <w:u w:val="single"/>
          <w:lang w:eastAsia="zh-CN"/>
        </w:rPr>
        <w:t xml:space="preserve">                       </w:t>
      </w:r>
    </w:p>
    <w:p w14:paraId="3B48F68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78630"/>
    <w:multiLevelType w:val="singleLevel"/>
    <w:tmpl w:val="3107863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E01489"/>
    <w:rsid w:val="09C13E54"/>
    <w:rsid w:val="1F122D30"/>
    <w:rsid w:val="1F1840BF"/>
    <w:rsid w:val="27532138"/>
    <w:rsid w:val="276952BC"/>
    <w:rsid w:val="313F372D"/>
    <w:rsid w:val="34806599"/>
    <w:rsid w:val="38A5656B"/>
    <w:rsid w:val="3AEC0481"/>
    <w:rsid w:val="3B4A33FA"/>
    <w:rsid w:val="4AB34B18"/>
    <w:rsid w:val="59F667CF"/>
    <w:rsid w:val="5AE37413"/>
    <w:rsid w:val="5BFE7BBD"/>
    <w:rsid w:val="5EAA5DDA"/>
    <w:rsid w:val="66682803"/>
    <w:rsid w:val="66E01489"/>
    <w:rsid w:val="67C717AB"/>
    <w:rsid w:val="70D34C9D"/>
    <w:rsid w:val="7C3C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2"/>
    <w:basedOn w:val="3"/>
    <w:next w:val="1"/>
    <w:qFormat/>
    <w:uiPriority w:val="0"/>
    <w:pPr>
      <w:spacing w:after="120" w:line="240" w:lineRule="auto"/>
      <w:ind w:left="420" w:leftChars="200" w:firstLine="420" w:firstLineChars="200"/>
    </w:pPr>
    <w:rPr>
      <w:rFonts w:ascii="Times New Roman"/>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5963</Words>
  <Characters>6655</Characters>
  <Lines>0</Lines>
  <Paragraphs>0</Paragraphs>
  <TotalTime>0</TotalTime>
  <ScaleCrop>false</ScaleCrop>
  <LinksUpToDate>false</LinksUpToDate>
  <CharactersWithSpaces>7417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2025-10-30T06:31:00Z</dcterms:created>
  <dc:creator>ZBB</dc:creator>
  <cp:lastModifiedBy>ZBB</cp:lastModifiedBy>
  <dcterms:modified xsi:type="dcterms:W3CDTF">2025-11-18T01:04:23Z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0DDF12D931204C2B8C1582BC3C655916_11</vt:lpwstr>
  </property>
  <property fmtid="{D5CDD505-2E9C-101B-9397-08002B2CF9AE}" pid="4" name="KSOTemplateDocerSaveRecord">
    <vt:lpwstr>eyJoZGlkIjoiYjExNjczMGQzYjg0NzAxYTU5ODk5MzgxMjI0NDZmZmMiLCJ1c2VySWQiOiIyNjQ2NDU1NDQifQ==</vt:lpwstr>
  </property>
</Properties>
</file>