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版本号：ZFFZ-2025-17420251205001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2025年网络安全运维项目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ZFFZ-2025-174</w:t>
      </w:r>
      <w:r>
        <w:br/>
      </w:r>
      <w:r>
        <w:br/>
      </w:r>
      <w:r>
        <w:br/>
      </w:r>
    </w:p>
    <w:p>
      <w:pPr>
        <w:pStyle w:val="null3"/>
        <w:jc w:val="center"/>
        <w:outlineLvl w:val="2"/>
      </w:pPr>
      <w:r>
        <w:rPr>
          <w:rFonts w:ascii="仿宋_GB2312" w:hAnsi="仿宋_GB2312" w:cs="仿宋_GB2312" w:eastAsia="仿宋_GB2312"/>
          <w:sz w:val="28"/>
          <w:b/>
        </w:rPr>
        <w:t>西安市出租汽车管理处</w:t>
      </w:r>
    </w:p>
    <w:p>
      <w:pPr>
        <w:pStyle w:val="null3"/>
        <w:jc w:val="center"/>
        <w:outlineLvl w:val="2"/>
      </w:pPr>
      <w:r>
        <w:rPr>
          <w:rFonts w:ascii="仿宋_GB2312" w:hAnsi="仿宋_GB2312" w:cs="仿宋_GB2312" w:eastAsia="仿宋_GB2312"/>
          <w:sz w:val="28"/>
          <w:b/>
        </w:rPr>
        <w:t>陕西中发项目管理发展有限公司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陕西中发项目管理发展有限公司</w:t>
      </w:r>
      <w:r>
        <w:rPr>
          <w:rFonts w:ascii="仿宋_GB2312" w:hAnsi="仿宋_GB2312" w:cs="仿宋_GB2312" w:eastAsia="仿宋_GB2312"/>
        </w:rPr>
        <w:t>（以下简称“代理机构”）受</w:t>
      </w:r>
      <w:r>
        <w:rPr>
          <w:rFonts w:ascii="仿宋_GB2312" w:hAnsi="仿宋_GB2312" w:cs="仿宋_GB2312" w:eastAsia="仿宋_GB2312"/>
        </w:rPr>
        <w:t>西安市出租汽车管理处</w:t>
      </w:r>
      <w:r>
        <w:rPr>
          <w:rFonts w:ascii="仿宋_GB2312" w:hAnsi="仿宋_GB2312" w:cs="仿宋_GB2312" w:eastAsia="仿宋_GB2312"/>
        </w:rPr>
        <w:t>委托，拟对</w:t>
      </w:r>
      <w:r>
        <w:rPr>
          <w:rFonts w:ascii="仿宋_GB2312" w:hAnsi="仿宋_GB2312" w:cs="仿宋_GB2312" w:eastAsia="仿宋_GB2312"/>
        </w:rPr>
        <w:t>2025年网络安全运维项目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ZFFZ-2025-174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2025年网络安全运维项目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采用国内主流成熟性的技术和产品，通过使用防火墙、网闸、安全管理平台、漏洞扫描系统、堡垒机等安全措施，运用切实的安全控制策略和安全服务手段，为西安市出租汽车管理处机房交通系统的网络安全运行、系统可靠性运行和数据信息安全保密性提供一套安全保障防御体系。保障西安市出租汽车管理处机房计算机网络设备和配套的设施的安全，保障信息的安全，运行环境的安全。保障网络系统的正常运行，保障信息系统的安全运行，进行安全风险评估、安全实时监测、系统流量检测、安全漏洞扫描、安全日常巡检、安全应急响应、重大安全事件保障、威胁情报服务、安全培训、网络安全应急演练、配备相关安全设备及软件、协助建立西安市出租汽车管理处网络安全制度、网络安全考评及检查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采购包1（2025年网络安全运维项目）：属于专门面向中小企业采购。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w:t>
      </w:r>
    </w:p>
    <w:p>
      <w:pPr>
        <w:pStyle w:val="null3"/>
      </w:pPr>
      <w:r>
        <w:rPr>
          <w:rFonts w:ascii="仿宋_GB2312" w:hAnsi="仿宋_GB2312" w:cs="仿宋_GB2312" w:eastAsia="仿宋_GB2312"/>
        </w:rPr>
        <w:t>2、法定代表人授权委托书：法定代表人参加投标的，须提供本人身份证复印件及近三个月社保参保证明（附在资格证明文件中）；法定代表人授权他人参加投标的，须提供法定代表人授权委托书及被授权人近三个月社保参保证明（按格式填写，提供原件）</w:t>
      </w:r>
    </w:p>
    <w:p>
      <w:pPr>
        <w:pStyle w:val="null3"/>
      </w:pPr>
      <w:r>
        <w:rPr>
          <w:rFonts w:ascii="仿宋_GB2312" w:hAnsi="仿宋_GB2312" w:cs="仿宋_GB2312" w:eastAsia="仿宋_GB2312"/>
        </w:rPr>
        <w:t>3、财务状况证明：供应商提供2023年度或2024年度经审计的完整财务会计报告（成立时间至提交响应文件截止时间不足一年的可提供成立后任意时段的资产负债表），或其开标前三个月内银行出具的资信证明</w:t>
      </w:r>
    </w:p>
    <w:p>
      <w:pPr>
        <w:pStyle w:val="null3"/>
      </w:pPr>
      <w:r>
        <w:rPr>
          <w:rFonts w:ascii="仿宋_GB2312" w:hAnsi="仿宋_GB2312" w:cs="仿宋_GB2312" w:eastAsia="仿宋_GB2312"/>
        </w:rPr>
        <w:t>4、社会保障资金缴纳证明：提供响应文件递交截止日前六个月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5、税收缴纳证明：提供响应文件递交截止日前六个月内已缴纳的至少一个月的纳税证明或完税证明，纳税证明或完税证明上应有代收机构或税务机关的公章，依法免税的单位应提供相关证明材料</w:t>
      </w:r>
    </w:p>
    <w:p>
      <w:pPr>
        <w:pStyle w:val="null3"/>
      </w:pPr>
      <w:r>
        <w:rPr>
          <w:rFonts w:ascii="仿宋_GB2312" w:hAnsi="仿宋_GB2312" w:cs="仿宋_GB2312" w:eastAsia="仿宋_GB2312"/>
        </w:rPr>
        <w:t>6、信用记录：提供《供应商信用记录书面声明函》（按格式填写，提供原件）。经查，投标人未被列入“信用中国”网站记录的“失信被执行人”或“重大税收违法失信主体”名单；不处于“中国政府采购网”记录的“政府采购严重违法失信行为记录名单”中的禁止参加政府采购活动期间</w:t>
      </w:r>
    </w:p>
    <w:p>
      <w:pPr>
        <w:pStyle w:val="null3"/>
      </w:pPr>
      <w:r>
        <w:rPr>
          <w:rFonts w:ascii="仿宋_GB2312" w:hAnsi="仿宋_GB2312" w:cs="仿宋_GB2312" w:eastAsia="仿宋_GB2312"/>
        </w:rPr>
        <w:t>7、控股管理关系：提供直接控股和管理关系清单。若与其他投标人存在单位负责人为同一人或者存在直接控股、管理关系的，则投标无效</w:t>
      </w:r>
    </w:p>
    <w:p>
      <w:pPr>
        <w:pStyle w:val="null3"/>
      </w:pPr>
      <w:r>
        <w:rPr>
          <w:rFonts w:ascii="仿宋_GB2312" w:hAnsi="仿宋_GB2312" w:cs="仿宋_GB2312" w:eastAsia="仿宋_GB2312"/>
        </w:rPr>
        <w:t>8、书面声明：提供书面声明，包括声明具有履行合同所必需的设备和专业技术能力；未为本项目提供整体设计、规范编制或者项目管理、监理、检测等服务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9、本项目不接受联合体投标：本项目不接受联合体响应，不允许分包。投标人提供《非联合体不分包投标声明》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西安市出租汽车管理处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西安市莲湖区八佳路8号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029-88610049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陕西中发项目管理发展有限公司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陕西省西安市碑林区长安北段14号朱雀广场写字楼C315室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刘超瑛、王婉思、刘峰、宋潇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029-88660760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采购包1：285,000.00元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代理服务费收费标准：参照国家发展和改革委员会《招标代理服务收费暂行办法》（计价格[2002]1980号）及发改办价格[2003]857号文件的规定标准收取。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西安市出租汽车管理处</w:t>
      </w:r>
      <w:r>
        <w:rPr>
          <w:rFonts w:ascii="仿宋_GB2312" w:hAnsi="仿宋_GB2312" w:cs="仿宋_GB2312" w:eastAsia="仿宋_GB2312"/>
        </w:rPr>
        <w:t>和</w:t>
      </w:r>
      <w:r>
        <w:rPr>
          <w:rFonts w:ascii="仿宋_GB2312" w:hAnsi="仿宋_GB2312" w:cs="仿宋_GB2312" w:eastAsia="仿宋_GB2312"/>
        </w:rPr>
        <w:t>陕西中发项目管理发展有限公司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西安市出租汽车管理处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陕西中发项目管理发展有限公司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西安市出租汽车管理处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陕西中发项目管理发展有限公司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双方签订合同时具体约定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陕西中发项目管理发展有限公司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陕西中发项目管理发展有限公司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陕西中发项目管理发展有限公司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联系人：刘老师</w:t>
      </w:r>
    </w:p>
    <w:p>
      <w:pPr>
        <w:pStyle w:val="null3"/>
      </w:pPr>
      <w:r>
        <w:rPr>
          <w:rFonts w:ascii="仿宋_GB2312" w:hAnsi="仿宋_GB2312" w:cs="仿宋_GB2312" w:eastAsia="仿宋_GB2312"/>
        </w:rPr>
        <w:t>联系电话：029-88660760</w:t>
      </w:r>
    </w:p>
    <w:p>
      <w:pPr>
        <w:pStyle w:val="null3"/>
      </w:pPr>
      <w:r>
        <w:rPr>
          <w:rFonts w:ascii="仿宋_GB2312" w:hAnsi="仿宋_GB2312" w:cs="仿宋_GB2312" w:eastAsia="仿宋_GB2312"/>
        </w:rPr>
        <w:t>地址：陕西省西安市碑林区长安北路14号体教公寓B座10101</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用国内主流成熟性的技术和产品，通过使用防火墙、网闸、安全管理平台、漏洞扫描系统、堡垒机等安全措施，运用切实的安全控制策略和安全服务手段，为西安市出租汽车管理处机房交通系统的网络安全运行、系统可靠性运行和数据信息安全保密性提供一套安全保障防御体系。保障西安市出租汽车管理处机房计算机网络设备和配套的设施的安全，保障信息的安全，运行环境的安全。保障网络系统的正常运行，保障信息系统的安全运行，进行安全风险评估、安全实时监测、系统流量检测、安全漏洞扫描、安全日常巡检、安全应急响应、重大安全事件保障、威胁情报服务、安全培训、网络安全应急演练、配备相关安全设备及软件、协助建立西安市出租汽车管理处网络安全制度、网络安全考评及检查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285,000.00</w:t>
      </w:r>
    </w:p>
    <w:p>
      <w:pPr>
        <w:pStyle w:val="null3"/>
      </w:pPr>
      <w:r>
        <w:rPr>
          <w:rFonts w:ascii="仿宋_GB2312" w:hAnsi="仿宋_GB2312" w:cs="仿宋_GB2312" w:eastAsia="仿宋_GB2312"/>
        </w:rPr>
        <w:t>采购包最高限价（元）: 285,000.00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网络安全运维</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标的名称：网络安全运维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一、安全服务需求</w:t>
            </w:r>
          </w:p>
          <w:p>
            <w:pPr>
              <w:pStyle w:val="null3"/>
            </w:pPr>
            <w:r>
              <w:rPr>
                <w:rFonts w:ascii="仿宋_GB2312" w:hAnsi="仿宋_GB2312" w:cs="仿宋_GB2312" w:eastAsia="仿宋_GB2312"/>
                <w:sz w:val="21"/>
              </w:rPr>
              <w:t>西安市出租汽车管理处于2012-2014年陆续购置了一批网络安全设备，系统有了一定的防护能力，但随着国家的一些列标准和法律的发布，重大维稳活动和护网行动日益增多，现有的安全技术防护能力面对新的安全事件已经无法满足防御需求，现阶段专业安全人员的不足和缺少安全态势预警平台，在面对日益严重的Oday漏洞、勒索病毒、反序列化、逻辑漏洞等危险无法及时采取相应的措施，同时现有部分设备已使用十年以上，型号普遍老旧，不再支持系统升级和硬件维保，因此现有的安全设备防护体系下，分析响应预警能力弱，无法及时快速处置和溯源取证，缺乏常态化持续安全服务，导致安全工作比较被动，其主要面临的问题和挑战如下：</w:t>
            </w:r>
          </w:p>
          <w:p>
            <w:pPr>
              <w:pStyle w:val="null3"/>
            </w:pPr>
            <w:r>
              <w:rPr>
                <w:rFonts w:ascii="仿宋_GB2312" w:hAnsi="仿宋_GB2312" w:cs="仿宋_GB2312" w:eastAsia="仿宋_GB2312"/>
                <w:sz w:val="21"/>
              </w:rPr>
              <w:t>（1）对行业相关网络安全要求和网络安全法等相关法律法规文件解读和安全管理制度体系建设整体规划；</w:t>
            </w:r>
          </w:p>
          <w:p>
            <w:pPr>
              <w:pStyle w:val="null3"/>
            </w:pPr>
            <w:r>
              <w:rPr>
                <w:rFonts w:ascii="仿宋_GB2312" w:hAnsi="仿宋_GB2312" w:cs="仿宋_GB2312" w:eastAsia="仿宋_GB2312"/>
                <w:sz w:val="21"/>
              </w:rPr>
              <w:t>（2）资产识别，梳理信息化资产、业务场景，认清面临安全风险；</w:t>
            </w:r>
          </w:p>
          <w:p>
            <w:pPr>
              <w:pStyle w:val="null3"/>
            </w:pPr>
            <w:r>
              <w:rPr>
                <w:rFonts w:ascii="仿宋_GB2312" w:hAnsi="仿宋_GB2312" w:cs="仿宋_GB2312" w:eastAsia="仿宋_GB2312"/>
                <w:sz w:val="21"/>
              </w:rPr>
              <w:t>（3）通过对安全事件的实时监测、预警，对安全事件采取有效的处置和溯源；</w:t>
            </w:r>
          </w:p>
          <w:p>
            <w:pPr>
              <w:pStyle w:val="null3"/>
            </w:pPr>
            <w:r>
              <w:rPr>
                <w:rFonts w:ascii="仿宋_GB2312" w:hAnsi="仿宋_GB2312" w:cs="仿宋_GB2312" w:eastAsia="仿宋_GB2312"/>
                <w:sz w:val="21"/>
              </w:rPr>
              <w:t>（4）对现有网络设备、主机设备、应用系统进行定期巡检和安全策略优化；</w:t>
            </w:r>
          </w:p>
          <w:p>
            <w:pPr>
              <w:pStyle w:val="null3"/>
            </w:pPr>
            <w:r>
              <w:rPr>
                <w:rFonts w:ascii="仿宋_GB2312" w:hAnsi="仿宋_GB2312" w:cs="仿宋_GB2312" w:eastAsia="仿宋_GB2312"/>
                <w:sz w:val="21"/>
              </w:rPr>
              <w:t>（5）定期开展安全意识培训，使组织员工充分了解安全标准、法律及安全意识；</w:t>
            </w:r>
          </w:p>
          <w:p>
            <w:pPr>
              <w:pStyle w:val="null3"/>
            </w:pPr>
            <w:r>
              <w:rPr>
                <w:rFonts w:ascii="仿宋_GB2312" w:hAnsi="仿宋_GB2312" w:cs="仿宋_GB2312" w:eastAsia="仿宋_GB2312"/>
                <w:sz w:val="21"/>
              </w:rPr>
              <w:t>（6）定期开展应急演练和安全攻防实战提升突发安全事件的应急响应能力；</w:t>
            </w:r>
          </w:p>
          <w:p>
            <w:pPr>
              <w:pStyle w:val="null3"/>
              <w:jc w:val="both"/>
            </w:pPr>
            <w:r>
              <w:rPr>
                <w:rFonts w:ascii="仿宋_GB2312" w:hAnsi="仿宋_GB2312" w:cs="仿宋_GB2312" w:eastAsia="仿宋_GB2312"/>
                <w:sz w:val="21"/>
              </w:rPr>
              <w:t xml:space="preserve"> 根据《西安市交通运输局关于印发2023年网络安全和信息化工作要点的通知》等文件精神，为提高加强交通信息网络安全保护工作的自觉性，依法构建网络安全综合防范体系，稳步提升西安市出租汽车管理处机房设施防护能力，确保机房基础设施安全运行，加强安全检查，为西安市出租汽车管理处各网络及信息系统进行为期一年的网络安全运维。</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二、安全服务内容和范围</w:t>
            </w:r>
          </w:p>
          <w:p>
            <w:pPr>
              <w:pStyle w:val="null3"/>
            </w:pPr>
            <w:r>
              <w:rPr>
                <w:rFonts w:ascii="仿宋_GB2312" w:hAnsi="仿宋_GB2312" w:cs="仿宋_GB2312" w:eastAsia="仿宋_GB2312"/>
                <w:sz w:val="21"/>
              </w:rPr>
              <w:t>服务内容包括：采用国内主流成熟性的技术和产品，通过使用防火墙、网闸、安全管理平台、漏洞扫描系统、堡垒机等安全措施，运用切实的安全控制策略和安全服务手段，为我处机房交通系统的网络安全运行、系统可靠性运行和数据信息安全保密性提供一套安全保障防御体系。</w:t>
            </w:r>
          </w:p>
          <w:p>
            <w:pPr>
              <w:pStyle w:val="null3"/>
              <w:jc w:val="both"/>
            </w:pPr>
            <w:r>
              <w:rPr>
                <w:rFonts w:ascii="仿宋_GB2312" w:hAnsi="仿宋_GB2312" w:cs="仿宋_GB2312" w:eastAsia="仿宋_GB2312"/>
                <w:sz w:val="21"/>
              </w:rPr>
              <w:t>服务范围包括：保障我处机房计算机网络设备和配套的设施的安全，保障信息的安全，运行环境的安全。保障网络系统的正常运行，保障信息系统的安全运行，进行安全风险评估、安全实时监测、系统流量检测、安全漏洞扫描、安全日常巡检、安全应急响应、重大安全事件保障、威胁情报服务、安全培训、网络安全应急演练、配备相关安全设备及软件、协助建立我处网络安全制度、网络安全考评及检查等。</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1"/>
              </w:rPr>
              <w:t>三、服务要求</w:t>
            </w:r>
          </w:p>
          <w:p>
            <w:pPr>
              <w:pStyle w:val="null3"/>
            </w:pPr>
            <w:r>
              <w:rPr>
                <w:rFonts w:ascii="仿宋_GB2312" w:hAnsi="仿宋_GB2312" w:cs="仿宋_GB2312" w:eastAsia="仿宋_GB2312"/>
                <w:sz w:val="21"/>
              </w:rPr>
              <w:t>（1）供应商网络安全管理人员必须遵守《网络安全法》、《数据安全法》、《个人信息保护法》等网络安全相关法律法规。网络安全管理人员负责网络安全和网上信息安全。如对网络安全和网上信息安全提出技术措施，须经我处领导批准后再实施。</w:t>
            </w:r>
          </w:p>
          <w:p>
            <w:pPr>
              <w:pStyle w:val="null3"/>
            </w:pPr>
            <w:r>
              <w:rPr>
                <w:rFonts w:ascii="仿宋_GB2312" w:hAnsi="仿宋_GB2312" w:cs="仿宋_GB2312" w:eastAsia="仿宋_GB2312"/>
                <w:sz w:val="21"/>
              </w:rPr>
              <w:t>（2）保证7*24小时热线电话畅通，并安排有网络安全维护经验和证书的工作人员随时准备处理突发的紧急情况。</w:t>
            </w:r>
          </w:p>
          <w:p>
            <w:pPr>
              <w:pStyle w:val="null3"/>
            </w:pPr>
            <w:r>
              <w:rPr>
                <w:rFonts w:ascii="仿宋_GB2312" w:hAnsi="仿宋_GB2312" w:cs="仿宋_GB2312" w:eastAsia="仿宋_GB2312"/>
                <w:sz w:val="21"/>
              </w:rPr>
              <w:t>（3）系统出现异常或告警时，供应商网络安全管理人员应在30分钟内提供电话响应或在线支持服务，并在1小时之内赶到现场提供现场维护服务。如果网络安全出现异常但不影响正常运行的情况发生时，应在半小时之内提供电话支持服务，并在2小时之内提供现场维护服务。</w:t>
            </w:r>
          </w:p>
          <w:p>
            <w:pPr>
              <w:pStyle w:val="null3"/>
            </w:pPr>
            <w:r>
              <w:rPr>
                <w:rFonts w:ascii="仿宋_GB2312" w:hAnsi="仿宋_GB2312" w:cs="仿宋_GB2312" w:eastAsia="仿宋_GB2312"/>
                <w:sz w:val="21"/>
              </w:rPr>
              <w:t>（4）供应商网络安全管理人员必须保证以下安全：一是机房网络实体安全，如计算机的物理条件、物理环境及设施的安全标准,计算机硬件、附属设备及网络传输线路的安装及配置等。二是软件安全，如保护网络系统不被非法侵入,系统软件与应用软件不被非法复制、篡改、不受病毒的侵害等。三是数据安全，如保护网络信息的数据安全,不被非法存取,保护其完整、一致等。四是网络安全管理，如运行时突发事件的安全处理等,包括采取计算机安全技术,建立安全管理制度,开展安全会议,进行风险分析等内容。</w:t>
            </w:r>
          </w:p>
          <w:p>
            <w:pPr>
              <w:pStyle w:val="null3"/>
            </w:pPr>
            <w:r>
              <w:rPr>
                <w:rFonts w:ascii="仿宋_GB2312" w:hAnsi="仿宋_GB2312" w:cs="仿宋_GB2312" w:eastAsia="仿宋_GB2312"/>
                <w:sz w:val="21"/>
              </w:rPr>
              <w:t>（5）为及时发现、排除系统网络安全隐患，供应商网络安全管理人员应做好周密的日志记录以及细致的分析。每月末提交本月事件日志记录，每六个月提交半年报告，年终向招标人提交年终总结报告，在巡检过程中发现问题要及时告知。供应商网络安全管理人员对于网络安全事件处理应有详细的报告记录，包含故障原因、响应时间、解决方案以及防范建议等，并对系统记录文件保存收档，以备查阅。同时做好信息化建设相关文件资料的收集、归类、整理、建档工作。负责机房网络安全相关设备、材料、软件介质等的建档、编号与借用管理。</w:t>
            </w:r>
          </w:p>
          <w:p>
            <w:pPr>
              <w:pStyle w:val="null3"/>
            </w:pPr>
            <w:r>
              <w:rPr>
                <w:rFonts w:ascii="仿宋_GB2312" w:hAnsi="仿宋_GB2312" w:cs="仿宋_GB2312" w:eastAsia="仿宋_GB2312"/>
                <w:sz w:val="21"/>
              </w:rPr>
              <w:t>（6）其它情况下的现场服务：重大节假日（元旦、春节、五一、国庆及其他三天以上长假和国家重大活动）前供应商网络安全管理人员须对系统进行全面检查，分析系统运行状况，查看系统日志，进行预防性检测，如有必要须安排工程师进行驻场服务。</w:t>
            </w:r>
          </w:p>
          <w:p>
            <w:pPr>
              <w:pStyle w:val="null3"/>
              <w:jc w:val="both"/>
            </w:pPr>
            <w:r>
              <w:rPr>
                <w:rFonts w:ascii="仿宋_GB2312" w:hAnsi="仿宋_GB2312" w:cs="仿宋_GB2312" w:eastAsia="仿宋_GB2312"/>
                <w:sz w:val="21"/>
              </w:rPr>
              <w:t>（7）提供培训服务：在维保期内，供应商应安排专业工程师对西安市出租汽车行业人员每半年进行一次网络安全相关的培训，每次培训时长不少于3小时，要求提供专业安全厂家安全培训讲师支持，提供原厂服务承诺函。</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1"/>
              </w:rPr>
              <w:t>四、安全运维服务清单</w:t>
            </w:r>
          </w:p>
          <w:tbl>
            <w:tblPr>
              <w:tblBorders>
                <w:top w:val="none" w:color="000000" w:sz="4"/>
                <w:left w:val="none" w:color="000000" w:sz="4"/>
                <w:bottom w:val="none" w:color="000000" w:sz="4"/>
                <w:right w:val="none" w:color="000000" w:sz="4"/>
                <w:insideH w:val="none"/>
                <w:insideV w:val="none"/>
              </w:tblBorders>
            </w:tblPr>
            <w:tblGrid>
              <w:gridCol w:w="337"/>
              <w:gridCol w:w="579"/>
              <w:gridCol w:w="1637"/>
            </w:tblGrid>
            <w:tr>
              <w:tc>
                <w:tcPr>
                  <w:tcW w:type="dxa" w:w="3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5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服务名称</w:t>
                  </w:r>
                </w:p>
              </w:tc>
              <w:tc>
                <w:tcPr>
                  <w:tcW w:type="dxa" w:w="16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服务内容</w:t>
                  </w:r>
                </w:p>
              </w:tc>
            </w:tr>
            <w:tr>
              <w:tc>
                <w:tcPr>
                  <w:tcW w:type="dxa" w:w="3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p>
                  <w:pPr>
                    <w:pStyle w:val="null3"/>
                    <w:jc w:val="both"/>
                  </w:pPr>
                </w:p>
              </w:tc>
              <w:tc>
                <w:tcPr>
                  <w:tcW w:type="dxa" w:w="5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资产梳理服务</w:t>
                  </w:r>
                </w:p>
                <w:p>
                  <w:pPr>
                    <w:pStyle w:val="null3"/>
                    <w:jc w:val="both"/>
                  </w:pPr>
                </w:p>
              </w:tc>
              <w:tc>
                <w:tcPr>
                  <w:tcW w:type="dxa" w:w="1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内容：出租处历年的资产数量存在着资产闲置、资产处置不规范等现象和问题，未知资产、僵尸资产大量存在，提供业务资产梳理，建立资产台账服务；</w:t>
                  </w:r>
                </w:p>
              </w:tc>
            </w:tr>
            <w:tr>
              <w:tc>
                <w:tcPr>
                  <w:tcW w:type="dxa" w:w="337"/>
                  <w:vMerge/>
                  <w:tcBorders>
                    <w:top w:val="none" w:color="000000" w:sz="4"/>
                    <w:left w:val="single" w:color="000000" w:sz="4"/>
                    <w:bottom w:val="single" w:color="000000" w:sz="4"/>
                    <w:right w:val="single" w:color="000000" w:sz="4"/>
                  </w:tcBorders>
                </w:tcPr>
                <w:p/>
              </w:tc>
              <w:tc>
                <w:tcPr>
                  <w:tcW w:type="dxa" w:w="579"/>
                  <w:vMerge/>
                  <w:tcBorders>
                    <w:top w:val="none" w:color="000000" w:sz="4"/>
                    <w:left w:val="single" w:color="000000" w:sz="4"/>
                    <w:bottom w:val="single" w:color="000000" w:sz="4"/>
                    <w:right w:val="single" w:color="000000" w:sz="4"/>
                  </w:tcBorders>
                </w:tcPr>
                <w:p/>
              </w:tc>
              <w:tc>
                <w:tcPr>
                  <w:tcW w:type="dxa" w:w="1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次数：2次</w:t>
                  </w:r>
                </w:p>
              </w:tc>
            </w:tr>
            <w:tr>
              <w:tc>
                <w:tcPr>
                  <w:tcW w:type="dxa" w:w="337"/>
                  <w:vMerge/>
                  <w:tcBorders>
                    <w:top w:val="none" w:color="000000" w:sz="4"/>
                    <w:left w:val="single" w:color="000000" w:sz="4"/>
                    <w:bottom w:val="single" w:color="000000" w:sz="4"/>
                    <w:right w:val="single" w:color="000000" w:sz="4"/>
                  </w:tcBorders>
                </w:tcPr>
                <w:p/>
              </w:tc>
              <w:tc>
                <w:tcPr>
                  <w:tcW w:type="dxa" w:w="579"/>
                  <w:vMerge/>
                  <w:tcBorders>
                    <w:top w:val="none" w:color="000000" w:sz="4"/>
                    <w:left w:val="single" w:color="000000" w:sz="4"/>
                    <w:bottom w:val="single" w:color="000000" w:sz="4"/>
                    <w:right w:val="single" w:color="000000" w:sz="4"/>
                  </w:tcBorders>
                </w:tcPr>
                <w:p/>
              </w:tc>
              <w:tc>
                <w:tcPr>
                  <w:tcW w:type="dxa" w:w="1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输出：《资产梳理清单》</w:t>
                  </w:r>
                </w:p>
              </w:tc>
            </w:tr>
            <w:tr>
              <w:tc>
                <w:tcPr>
                  <w:tcW w:type="dxa" w:w="3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p>
                  <w:pPr>
                    <w:pStyle w:val="null3"/>
                    <w:jc w:val="both"/>
                  </w:pPr>
                </w:p>
              </w:tc>
              <w:tc>
                <w:tcPr>
                  <w:tcW w:type="dxa" w:w="5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漏洞扫描服务</w:t>
                  </w:r>
                </w:p>
                <w:p>
                  <w:pPr>
                    <w:pStyle w:val="null3"/>
                    <w:jc w:val="both"/>
                  </w:pPr>
                </w:p>
              </w:tc>
              <w:tc>
                <w:tcPr>
                  <w:tcW w:type="dxa" w:w="1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内容：用专业安全评估工具以自动化扫描的方式对评估范围内的基础IT设备进行安全扫描，发现目标存在的安全风险、漏洞和威胁，并协助应用、服务器以及其他设备厂商完成安全加固</w:t>
                  </w:r>
                </w:p>
              </w:tc>
            </w:tr>
            <w:tr>
              <w:tc>
                <w:tcPr>
                  <w:tcW w:type="dxa" w:w="337"/>
                  <w:vMerge/>
                  <w:tcBorders>
                    <w:top w:val="none" w:color="000000" w:sz="4"/>
                    <w:left w:val="single" w:color="000000" w:sz="4"/>
                    <w:bottom w:val="single" w:color="000000" w:sz="4"/>
                    <w:right w:val="single" w:color="000000" w:sz="4"/>
                  </w:tcBorders>
                </w:tcPr>
                <w:p/>
              </w:tc>
              <w:tc>
                <w:tcPr>
                  <w:tcW w:type="dxa" w:w="579"/>
                  <w:vMerge/>
                  <w:tcBorders>
                    <w:top w:val="none" w:color="000000" w:sz="4"/>
                    <w:left w:val="single" w:color="000000" w:sz="4"/>
                    <w:bottom w:val="single" w:color="000000" w:sz="4"/>
                    <w:right w:val="single" w:color="000000" w:sz="4"/>
                  </w:tcBorders>
                </w:tcPr>
                <w:p/>
              </w:tc>
              <w:tc>
                <w:tcPr>
                  <w:tcW w:type="dxa" w:w="1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次数：4次</w:t>
                  </w:r>
                </w:p>
              </w:tc>
            </w:tr>
            <w:tr>
              <w:tc>
                <w:tcPr>
                  <w:tcW w:type="dxa" w:w="337"/>
                  <w:vMerge/>
                  <w:tcBorders>
                    <w:top w:val="none" w:color="000000" w:sz="4"/>
                    <w:left w:val="single" w:color="000000" w:sz="4"/>
                    <w:bottom w:val="single" w:color="000000" w:sz="4"/>
                    <w:right w:val="single" w:color="000000" w:sz="4"/>
                  </w:tcBorders>
                </w:tcPr>
                <w:p/>
              </w:tc>
              <w:tc>
                <w:tcPr>
                  <w:tcW w:type="dxa" w:w="579"/>
                  <w:vMerge/>
                  <w:tcBorders>
                    <w:top w:val="none" w:color="000000" w:sz="4"/>
                    <w:left w:val="single" w:color="000000" w:sz="4"/>
                    <w:bottom w:val="single" w:color="000000" w:sz="4"/>
                    <w:right w:val="single" w:color="000000" w:sz="4"/>
                  </w:tcBorders>
                </w:tcPr>
                <w:p/>
              </w:tc>
              <w:tc>
                <w:tcPr>
                  <w:tcW w:type="dxa" w:w="1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输出：《漏洞扫描报告》</w:t>
                  </w:r>
                </w:p>
              </w:tc>
            </w:tr>
            <w:tr>
              <w:tc>
                <w:tcPr>
                  <w:tcW w:type="dxa" w:w="3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p>
                  <w:pPr>
                    <w:pStyle w:val="null3"/>
                    <w:jc w:val="both"/>
                  </w:pPr>
                </w:p>
              </w:tc>
              <w:tc>
                <w:tcPr>
                  <w:tcW w:type="dxa" w:w="5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基线合规检查</w:t>
                  </w:r>
                </w:p>
                <w:p>
                  <w:pPr>
                    <w:pStyle w:val="null3"/>
                    <w:jc w:val="both"/>
                  </w:pPr>
                </w:p>
              </w:tc>
              <w:tc>
                <w:tcPr>
                  <w:tcW w:type="dxa" w:w="1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内容：通过基线核查工具对现有网络中的安全设备、网络设备、主机、数据库、中间件做合规检查。</w:t>
                  </w:r>
                </w:p>
              </w:tc>
            </w:tr>
            <w:tr>
              <w:tc>
                <w:tcPr>
                  <w:tcW w:type="dxa" w:w="337"/>
                  <w:vMerge/>
                  <w:tcBorders>
                    <w:top w:val="none" w:color="000000" w:sz="4"/>
                    <w:left w:val="single" w:color="000000" w:sz="4"/>
                    <w:bottom w:val="single" w:color="000000" w:sz="4"/>
                    <w:right w:val="single" w:color="000000" w:sz="4"/>
                  </w:tcBorders>
                </w:tcPr>
                <w:p/>
              </w:tc>
              <w:tc>
                <w:tcPr>
                  <w:tcW w:type="dxa" w:w="579"/>
                  <w:vMerge/>
                  <w:tcBorders>
                    <w:top w:val="none" w:color="000000" w:sz="4"/>
                    <w:left w:val="single" w:color="000000" w:sz="4"/>
                    <w:bottom w:val="single" w:color="000000" w:sz="4"/>
                    <w:right w:val="single" w:color="000000" w:sz="4"/>
                  </w:tcBorders>
                </w:tcPr>
                <w:p/>
              </w:tc>
              <w:tc>
                <w:tcPr>
                  <w:tcW w:type="dxa" w:w="1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次数：2次</w:t>
                  </w:r>
                </w:p>
              </w:tc>
            </w:tr>
            <w:tr>
              <w:tc>
                <w:tcPr>
                  <w:tcW w:type="dxa" w:w="337"/>
                  <w:vMerge/>
                  <w:tcBorders>
                    <w:top w:val="none" w:color="000000" w:sz="4"/>
                    <w:left w:val="single" w:color="000000" w:sz="4"/>
                    <w:bottom w:val="single" w:color="000000" w:sz="4"/>
                    <w:right w:val="single" w:color="000000" w:sz="4"/>
                  </w:tcBorders>
                </w:tcPr>
                <w:p/>
              </w:tc>
              <w:tc>
                <w:tcPr>
                  <w:tcW w:type="dxa" w:w="579"/>
                  <w:vMerge/>
                  <w:tcBorders>
                    <w:top w:val="none" w:color="000000" w:sz="4"/>
                    <w:left w:val="single" w:color="000000" w:sz="4"/>
                    <w:bottom w:val="single" w:color="000000" w:sz="4"/>
                    <w:right w:val="single" w:color="000000" w:sz="4"/>
                  </w:tcBorders>
                </w:tcPr>
                <w:p/>
              </w:tc>
              <w:tc>
                <w:tcPr>
                  <w:tcW w:type="dxa" w:w="1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输出：《安全基线合规检测报告》</w:t>
                  </w:r>
                </w:p>
              </w:tc>
            </w:tr>
            <w:tr>
              <w:tc>
                <w:tcPr>
                  <w:tcW w:type="dxa" w:w="3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p>
                  <w:pPr>
                    <w:pStyle w:val="null3"/>
                    <w:jc w:val="both"/>
                  </w:pPr>
                </w:p>
              </w:tc>
              <w:tc>
                <w:tcPr>
                  <w:tcW w:type="dxa" w:w="5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态势感知服务</w:t>
                  </w:r>
                </w:p>
                <w:p>
                  <w:pPr>
                    <w:pStyle w:val="null3"/>
                    <w:jc w:val="both"/>
                  </w:pPr>
                </w:p>
              </w:tc>
              <w:tc>
                <w:tcPr>
                  <w:tcW w:type="dxa" w:w="1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内容：服务期间部署态势感知探针设备对网络安全事件进行实时监控和预警。</w:t>
                  </w:r>
                </w:p>
              </w:tc>
            </w:tr>
            <w:tr>
              <w:tc>
                <w:tcPr>
                  <w:tcW w:type="dxa" w:w="337"/>
                  <w:vMerge/>
                  <w:tcBorders>
                    <w:top w:val="none" w:color="000000" w:sz="4"/>
                    <w:left w:val="single" w:color="000000" w:sz="4"/>
                    <w:bottom w:val="single" w:color="000000" w:sz="4"/>
                    <w:right w:val="single" w:color="000000" w:sz="4"/>
                  </w:tcBorders>
                </w:tcPr>
                <w:p/>
              </w:tc>
              <w:tc>
                <w:tcPr>
                  <w:tcW w:type="dxa" w:w="579"/>
                  <w:vMerge/>
                  <w:tcBorders>
                    <w:top w:val="none" w:color="000000" w:sz="4"/>
                    <w:left w:val="single" w:color="000000" w:sz="4"/>
                    <w:bottom w:val="single" w:color="000000" w:sz="4"/>
                    <w:right w:val="single" w:color="000000" w:sz="4"/>
                  </w:tcBorders>
                </w:tcPr>
                <w:p/>
              </w:tc>
              <w:tc>
                <w:tcPr>
                  <w:tcW w:type="dxa" w:w="1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次数：每月一次</w:t>
                  </w:r>
                </w:p>
              </w:tc>
            </w:tr>
            <w:tr>
              <w:tc>
                <w:tcPr>
                  <w:tcW w:type="dxa" w:w="337"/>
                  <w:vMerge/>
                  <w:tcBorders>
                    <w:top w:val="none" w:color="000000" w:sz="4"/>
                    <w:left w:val="single" w:color="000000" w:sz="4"/>
                    <w:bottom w:val="single" w:color="000000" w:sz="4"/>
                    <w:right w:val="single" w:color="000000" w:sz="4"/>
                  </w:tcBorders>
                </w:tcPr>
                <w:p/>
              </w:tc>
              <w:tc>
                <w:tcPr>
                  <w:tcW w:type="dxa" w:w="579"/>
                  <w:vMerge/>
                  <w:tcBorders>
                    <w:top w:val="none" w:color="000000" w:sz="4"/>
                    <w:left w:val="single" w:color="000000" w:sz="4"/>
                    <w:bottom w:val="single" w:color="000000" w:sz="4"/>
                    <w:right w:val="single" w:color="000000" w:sz="4"/>
                  </w:tcBorders>
                </w:tcPr>
                <w:p/>
              </w:tc>
              <w:tc>
                <w:tcPr>
                  <w:tcW w:type="dxa" w:w="1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输出：《网络安全月度态势报告》</w:t>
                  </w:r>
                </w:p>
              </w:tc>
            </w:tr>
            <w:tr>
              <w:tc>
                <w:tcPr>
                  <w:tcW w:type="dxa" w:w="3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p>
                  <w:pPr>
                    <w:pStyle w:val="null3"/>
                    <w:jc w:val="both"/>
                  </w:pPr>
                </w:p>
              </w:tc>
              <w:tc>
                <w:tcPr>
                  <w:tcW w:type="dxa" w:w="5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日志审计服务</w:t>
                  </w:r>
                </w:p>
                <w:p>
                  <w:pPr>
                    <w:pStyle w:val="null3"/>
                    <w:jc w:val="both"/>
                  </w:pPr>
                </w:p>
              </w:tc>
              <w:tc>
                <w:tcPr>
                  <w:tcW w:type="dxa" w:w="1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内容：服务期间部署日志审计系统对重要资产和设备日志进行采集并分析。</w:t>
                  </w:r>
                </w:p>
              </w:tc>
            </w:tr>
            <w:tr>
              <w:tc>
                <w:tcPr>
                  <w:tcW w:type="dxa" w:w="337"/>
                  <w:vMerge/>
                  <w:tcBorders>
                    <w:top w:val="none" w:color="000000" w:sz="4"/>
                    <w:left w:val="single" w:color="000000" w:sz="4"/>
                    <w:bottom w:val="single" w:color="000000" w:sz="4"/>
                    <w:right w:val="single" w:color="000000" w:sz="4"/>
                  </w:tcBorders>
                </w:tcPr>
                <w:p/>
              </w:tc>
              <w:tc>
                <w:tcPr>
                  <w:tcW w:type="dxa" w:w="579"/>
                  <w:vMerge/>
                  <w:tcBorders>
                    <w:top w:val="none" w:color="000000" w:sz="4"/>
                    <w:left w:val="single" w:color="000000" w:sz="4"/>
                    <w:bottom w:val="single" w:color="000000" w:sz="4"/>
                    <w:right w:val="single" w:color="000000" w:sz="4"/>
                  </w:tcBorders>
                </w:tcPr>
                <w:p/>
              </w:tc>
              <w:tc>
                <w:tcPr>
                  <w:tcW w:type="dxa" w:w="1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次数：每月一次</w:t>
                  </w:r>
                </w:p>
              </w:tc>
            </w:tr>
            <w:tr>
              <w:tc>
                <w:tcPr>
                  <w:tcW w:type="dxa" w:w="337"/>
                  <w:vMerge/>
                  <w:tcBorders>
                    <w:top w:val="none" w:color="000000" w:sz="4"/>
                    <w:left w:val="single" w:color="000000" w:sz="4"/>
                    <w:bottom w:val="single" w:color="000000" w:sz="4"/>
                    <w:right w:val="single" w:color="000000" w:sz="4"/>
                  </w:tcBorders>
                </w:tcPr>
                <w:p/>
              </w:tc>
              <w:tc>
                <w:tcPr>
                  <w:tcW w:type="dxa" w:w="579"/>
                  <w:vMerge/>
                  <w:tcBorders>
                    <w:top w:val="none" w:color="000000" w:sz="4"/>
                    <w:left w:val="single" w:color="000000" w:sz="4"/>
                    <w:bottom w:val="single" w:color="000000" w:sz="4"/>
                    <w:right w:val="single" w:color="000000" w:sz="4"/>
                  </w:tcBorders>
                </w:tcPr>
                <w:p/>
              </w:tc>
              <w:tc>
                <w:tcPr>
                  <w:tcW w:type="dxa" w:w="1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输出：《日志审计分报报告》</w:t>
                  </w:r>
                </w:p>
              </w:tc>
            </w:tr>
            <w:tr>
              <w:tc>
                <w:tcPr>
                  <w:tcW w:type="dxa" w:w="3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w:t>
                  </w:r>
                </w:p>
                <w:p>
                  <w:pPr>
                    <w:pStyle w:val="null3"/>
                    <w:jc w:val="both"/>
                  </w:pPr>
                </w:p>
              </w:tc>
              <w:tc>
                <w:tcPr>
                  <w:tcW w:type="dxa" w:w="5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预警通告服务</w:t>
                  </w:r>
                </w:p>
                <w:p>
                  <w:pPr>
                    <w:pStyle w:val="null3"/>
                    <w:jc w:val="both"/>
                  </w:pPr>
                </w:p>
              </w:tc>
              <w:tc>
                <w:tcPr>
                  <w:tcW w:type="dxa" w:w="1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内容：服务期间预警通告主要包括安全咨询、网络安全事件通告、安全预警和应急响应服务，将最新的网络安全攻击方式、漏洞情况、病毒传播情况进行汇报</w:t>
                  </w:r>
                </w:p>
              </w:tc>
            </w:tr>
            <w:tr>
              <w:tc>
                <w:tcPr>
                  <w:tcW w:type="dxa" w:w="337"/>
                  <w:vMerge/>
                  <w:tcBorders>
                    <w:top w:val="none" w:color="000000" w:sz="4"/>
                    <w:left w:val="single" w:color="000000" w:sz="4"/>
                    <w:bottom w:val="single" w:color="000000" w:sz="4"/>
                    <w:right w:val="single" w:color="000000" w:sz="4"/>
                  </w:tcBorders>
                </w:tcPr>
                <w:p/>
              </w:tc>
              <w:tc>
                <w:tcPr>
                  <w:tcW w:type="dxa" w:w="579"/>
                  <w:vMerge/>
                  <w:tcBorders>
                    <w:top w:val="none" w:color="000000" w:sz="4"/>
                    <w:left w:val="single" w:color="000000" w:sz="4"/>
                    <w:bottom w:val="single" w:color="000000" w:sz="4"/>
                    <w:right w:val="single" w:color="000000" w:sz="4"/>
                  </w:tcBorders>
                </w:tcPr>
                <w:p/>
              </w:tc>
              <w:tc>
                <w:tcPr>
                  <w:tcW w:type="dxa" w:w="1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次数：每周一次</w:t>
                  </w:r>
                </w:p>
              </w:tc>
            </w:tr>
            <w:tr>
              <w:tc>
                <w:tcPr>
                  <w:tcW w:type="dxa" w:w="337"/>
                  <w:vMerge/>
                  <w:tcBorders>
                    <w:top w:val="none" w:color="000000" w:sz="4"/>
                    <w:left w:val="single" w:color="000000" w:sz="4"/>
                    <w:bottom w:val="single" w:color="000000" w:sz="4"/>
                    <w:right w:val="single" w:color="000000" w:sz="4"/>
                  </w:tcBorders>
                </w:tcPr>
                <w:p/>
              </w:tc>
              <w:tc>
                <w:tcPr>
                  <w:tcW w:type="dxa" w:w="579"/>
                  <w:vMerge/>
                  <w:tcBorders>
                    <w:top w:val="none" w:color="000000" w:sz="4"/>
                    <w:left w:val="single" w:color="000000" w:sz="4"/>
                    <w:bottom w:val="single" w:color="000000" w:sz="4"/>
                    <w:right w:val="single" w:color="000000" w:sz="4"/>
                  </w:tcBorders>
                </w:tcPr>
                <w:p/>
              </w:tc>
              <w:tc>
                <w:tcPr>
                  <w:tcW w:type="dxa" w:w="1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输出：《每周安全事件通告》</w:t>
                  </w:r>
                </w:p>
              </w:tc>
            </w:tr>
            <w:tr>
              <w:tc>
                <w:tcPr>
                  <w:tcW w:type="dxa" w:w="3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w:t>
                  </w:r>
                </w:p>
                <w:p>
                  <w:pPr>
                    <w:pStyle w:val="null3"/>
                    <w:jc w:val="both"/>
                  </w:pPr>
                </w:p>
              </w:tc>
              <w:tc>
                <w:tcPr>
                  <w:tcW w:type="dxa" w:w="5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应急响应服务</w:t>
                  </w:r>
                </w:p>
                <w:p>
                  <w:pPr>
                    <w:pStyle w:val="null3"/>
                    <w:jc w:val="both"/>
                  </w:pPr>
                </w:p>
              </w:tc>
              <w:tc>
                <w:tcPr>
                  <w:tcW w:type="dxa" w:w="1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内容：服务期间若客户网络或业务系统遭遇恶意攻击、入侵或病毒感染时，提供应急服务，以达到保护信息系统的目的，包括事件分析与定位、配合入侵取证调查、配合恢复业务系统运行、业务恢复后的安全防护策略调整与确认。应急响应时间为市内一小时到达现场。</w:t>
                  </w:r>
                </w:p>
              </w:tc>
            </w:tr>
            <w:tr>
              <w:tc>
                <w:tcPr>
                  <w:tcW w:type="dxa" w:w="337"/>
                  <w:vMerge/>
                  <w:tcBorders>
                    <w:top w:val="none" w:color="000000" w:sz="4"/>
                    <w:left w:val="single" w:color="000000" w:sz="4"/>
                    <w:bottom w:val="single" w:color="000000" w:sz="4"/>
                    <w:right w:val="single" w:color="000000" w:sz="4"/>
                  </w:tcBorders>
                </w:tcPr>
                <w:p/>
              </w:tc>
              <w:tc>
                <w:tcPr>
                  <w:tcW w:type="dxa" w:w="579"/>
                  <w:vMerge/>
                  <w:tcBorders>
                    <w:top w:val="none" w:color="000000" w:sz="4"/>
                    <w:left w:val="single" w:color="000000" w:sz="4"/>
                    <w:bottom w:val="single" w:color="000000" w:sz="4"/>
                    <w:right w:val="single" w:color="000000" w:sz="4"/>
                  </w:tcBorders>
                </w:tcPr>
                <w:p/>
              </w:tc>
              <w:tc>
                <w:tcPr>
                  <w:tcW w:type="dxa" w:w="1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次数：不限次数</w:t>
                  </w:r>
                </w:p>
              </w:tc>
            </w:tr>
            <w:tr>
              <w:tc>
                <w:tcPr>
                  <w:tcW w:type="dxa" w:w="337"/>
                  <w:vMerge/>
                  <w:tcBorders>
                    <w:top w:val="none" w:color="000000" w:sz="4"/>
                    <w:left w:val="single" w:color="000000" w:sz="4"/>
                    <w:bottom w:val="single" w:color="000000" w:sz="4"/>
                    <w:right w:val="single" w:color="000000" w:sz="4"/>
                  </w:tcBorders>
                </w:tcPr>
                <w:p/>
              </w:tc>
              <w:tc>
                <w:tcPr>
                  <w:tcW w:type="dxa" w:w="579"/>
                  <w:vMerge/>
                  <w:tcBorders>
                    <w:top w:val="none" w:color="000000" w:sz="4"/>
                    <w:left w:val="single" w:color="000000" w:sz="4"/>
                    <w:bottom w:val="single" w:color="000000" w:sz="4"/>
                    <w:right w:val="single" w:color="000000" w:sz="4"/>
                  </w:tcBorders>
                </w:tcPr>
                <w:p/>
              </w:tc>
              <w:tc>
                <w:tcPr>
                  <w:tcW w:type="dxa" w:w="1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输出：《应急处置报告》</w:t>
                  </w:r>
                </w:p>
              </w:tc>
            </w:tr>
            <w:tr>
              <w:tc>
                <w:tcPr>
                  <w:tcW w:type="dxa" w:w="3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w:t>
                  </w:r>
                </w:p>
                <w:p>
                  <w:pPr>
                    <w:pStyle w:val="null3"/>
                    <w:jc w:val="both"/>
                  </w:pPr>
                </w:p>
              </w:tc>
              <w:tc>
                <w:tcPr>
                  <w:tcW w:type="dxa" w:w="5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勒索、挖矿等检测</w:t>
                  </w:r>
                </w:p>
                <w:p>
                  <w:pPr>
                    <w:pStyle w:val="null3"/>
                    <w:jc w:val="both"/>
                  </w:pPr>
                  <w:r>
                    <w:rPr>
                      <w:rFonts w:ascii="仿宋_GB2312" w:hAnsi="仿宋_GB2312" w:cs="仿宋_GB2312" w:eastAsia="仿宋_GB2312"/>
                      <w:sz w:val="21"/>
                    </w:rPr>
                    <w:t>服务</w:t>
                  </w:r>
                </w:p>
                <w:p>
                  <w:pPr>
                    <w:pStyle w:val="null3"/>
                    <w:jc w:val="both"/>
                  </w:pPr>
                </w:p>
              </w:tc>
              <w:tc>
                <w:tcPr>
                  <w:tcW w:type="dxa" w:w="1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内容：服务期间帮助车管处全网检测勒索病毒以及是否有挖矿等情况，并作出针对性等措施，保障业务和终端不受侵害。</w:t>
                  </w:r>
                </w:p>
              </w:tc>
            </w:tr>
            <w:tr>
              <w:tc>
                <w:tcPr>
                  <w:tcW w:type="dxa" w:w="337"/>
                  <w:vMerge/>
                  <w:tcBorders>
                    <w:top w:val="none" w:color="000000" w:sz="4"/>
                    <w:left w:val="single" w:color="000000" w:sz="4"/>
                    <w:bottom w:val="single" w:color="000000" w:sz="4"/>
                    <w:right w:val="single" w:color="000000" w:sz="4"/>
                  </w:tcBorders>
                </w:tcPr>
                <w:p/>
              </w:tc>
              <w:tc>
                <w:tcPr>
                  <w:tcW w:type="dxa" w:w="579"/>
                  <w:vMerge/>
                  <w:tcBorders>
                    <w:top w:val="none" w:color="000000" w:sz="4"/>
                    <w:left w:val="single" w:color="000000" w:sz="4"/>
                    <w:bottom w:val="single" w:color="000000" w:sz="4"/>
                    <w:right w:val="single" w:color="000000" w:sz="4"/>
                  </w:tcBorders>
                </w:tcPr>
                <w:p/>
              </w:tc>
              <w:tc>
                <w:tcPr>
                  <w:tcW w:type="dxa" w:w="1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次数：四次</w:t>
                  </w:r>
                </w:p>
              </w:tc>
            </w:tr>
            <w:tr>
              <w:tc>
                <w:tcPr>
                  <w:tcW w:type="dxa" w:w="3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9</w:t>
                  </w:r>
                </w:p>
                <w:p>
                  <w:pPr>
                    <w:pStyle w:val="null3"/>
                    <w:jc w:val="both"/>
                  </w:pPr>
                </w:p>
              </w:tc>
              <w:tc>
                <w:tcPr>
                  <w:tcW w:type="dxa" w:w="5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风险评估服务</w:t>
                  </w:r>
                </w:p>
                <w:p>
                  <w:pPr>
                    <w:pStyle w:val="null3"/>
                    <w:jc w:val="both"/>
                  </w:pPr>
                </w:p>
              </w:tc>
              <w:tc>
                <w:tcPr>
                  <w:tcW w:type="dxa" w:w="1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内容：服务期间帮助出租处发现客户系统中潜在的可能对客户的有形资产、无形资产以及信誉等方面造成巨大损失的安全问题，通过对客户的系统进行信息收集、整理等，对客户资产可能产生影响的安全问题划分不同的风险级别，最终为客户编制详细、规范的安全评估报告，并为客户指出应解决的首要风险问题、次要问题以及其对客户可能的影响等。</w:t>
                  </w:r>
                </w:p>
              </w:tc>
            </w:tr>
            <w:tr>
              <w:tc>
                <w:tcPr>
                  <w:tcW w:type="dxa" w:w="337"/>
                  <w:vMerge/>
                  <w:tcBorders>
                    <w:top w:val="none" w:color="000000" w:sz="4"/>
                    <w:left w:val="single" w:color="000000" w:sz="4"/>
                    <w:bottom w:val="single" w:color="000000" w:sz="4"/>
                    <w:right w:val="single" w:color="000000" w:sz="4"/>
                  </w:tcBorders>
                </w:tcPr>
                <w:p/>
              </w:tc>
              <w:tc>
                <w:tcPr>
                  <w:tcW w:type="dxa" w:w="579"/>
                  <w:vMerge/>
                  <w:tcBorders>
                    <w:top w:val="none" w:color="000000" w:sz="4"/>
                    <w:left w:val="single" w:color="000000" w:sz="4"/>
                    <w:bottom w:val="single" w:color="000000" w:sz="4"/>
                    <w:right w:val="single" w:color="000000" w:sz="4"/>
                  </w:tcBorders>
                </w:tcPr>
                <w:p/>
              </w:tc>
              <w:tc>
                <w:tcPr>
                  <w:tcW w:type="dxa" w:w="1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次数：一次</w:t>
                  </w:r>
                </w:p>
              </w:tc>
            </w:tr>
            <w:tr>
              <w:tc>
                <w:tcPr>
                  <w:tcW w:type="dxa" w:w="337"/>
                  <w:vMerge/>
                  <w:tcBorders>
                    <w:top w:val="none" w:color="000000" w:sz="4"/>
                    <w:left w:val="single" w:color="000000" w:sz="4"/>
                    <w:bottom w:val="single" w:color="000000" w:sz="4"/>
                    <w:right w:val="single" w:color="000000" w:sz="4"/>
                  </w:tcBorders>
                </w:tcPr>
                <w:p/>
              </w:tc>
              <w:tc>
                <w:tcPr>
                  <w:tcW w:type="dxa" w:w="579"/>
                  <w:vMerge/>
                  <w:tcBorders>
                    <w:top w:val="none" w:color="000000" w:sz="4"/>
                    <w:left w:val="single" w:color="000000" w:sz="4"/>
                    <w:bottom w:val="single" w:color="000000" w:sz="4"/>
                    <w:right w:val="single" w:color="000000" w:sz="4"/>
                  </w:tcBorders>
                </w:tcPr>
                <w:p/>
              </w:tc>
              <w:tc>
                <w:tcPr>
                  <w:tcW w:type="dxa" w:w="1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输出：《风险评估报告报告》</w:t>
                  </w:r>
                </w:p>
              </w:tc>
            </w:tr>
            <w:tr>
              <w:tc>
                <w:tcPr>
                  <w:tcW w:type="dxa" w:w="3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w:t>
                  </w:r>
                </w:p>
                <w:p>
                  <w:pPr>
                    <w:pStyle w:val="null3"/>
                    <w:jc w:val="both"/>
                  </w:pPr>
                </w:p>
              </w:tc>
              <w:tc>
                <w:tcPr>
                  <w:tcW w:type="dxa" w:w="5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应急演练</w:t>
                  </w:r>
                </w:p>
                <w:p>
                  <w:pPr>
                    <w:pStyle w:val="null3"/>
                    <w:jc w:val="both"/>
                  </w:pPr>
                </w:p>
              </w:tc>
              <w:tc>
                <w:tcPr>
                  <w:tcW w:type="dxa" w:w="1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内容：服务期间举行一次应急演练服务，针对对应急计划进行演练，检验应急计划的合理性和有效性，并更新应急响应计划。</w:t>
                  </w:r>
                </w:p>
              </w:tc>
            </w:tr>
            <w:tr>
              <w:tc>
                <w:tcPr>
                  <w:tcW w:type="dxa" w:w="337"/>
                  <w:vMerge/>
                  <w:tcBorders>
                    <w:top w:val="none" w:color="000000" w:sz="4"/>
                    <w:left w:val="single" w:color="000000" w:sz="4"/>
                    <w:bottom w:val="single" w:color="000000" w:sz="4"/>
                    <w:right w:val="single" w:color="000000" w:sz="4"/>
                  </w:tcBorders>
                </w:tcPr>
                <w:p/>
              </w:tc>
              <w:tc>
                <w:tcPr>
                  <w:tcW w:type="dxa" w:w="579"/>
                  <w:vMerge/>
                  <w:tcBorders>
                    <w:top w:val="none" w:color="000000" w:sz="4"/>
                    <w:left w:val="single" w:color="000000" w:sz="4"/>
                    <w:bottom w:val="single" w:color="000000" w:sz="4"/>
                    <w:right w:val="single" w:color="000000" w:sz="4"/>
                  </w:tcBorders>
                </w:tcPr>
                <w:p/>
              </w:tc>
              <w:tc>
                <w:tcPr>
                  <w:tcW w:type="dxa" w:w="1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次数：一次</w:t>
                  </w:r>
                </w:p>
              </w:tc>
            </w:tr>
            <w:tr>
              <w:tc>
                <w:tcPr>
                  <w:tcW w:type="dxa" w:w="337"/>
                  <w:vMerge/>
                  <w:tcBorders>
                    <w:top w:val="none" w:color="000000" w:sz="4"/>
                    <w:left w:val="single" w:color="000000" w:sz="4"/>
                    <w:bottom w:val="single" w:color="000000" w:sz="4"/>
                    <w:right w:val="single" w:color="000000" w:sz="4"/>
                  </w:tcBorders>
                </w:tcPr>
                <w:p/>
              </w:tc>
              <w:tc>
                <w:tcPr>
                  <w:tcW w:type="dxa" w:w="579"/>
                  <w:vMerge/>
                  <w:tcBorders>
                    <w:top w:val="none" w:color="000000" w:sz="4"/>
                    <w:left w:val="single" w:color="000000" w:sz="4"/>
                    <w:bottom w:val="single" w:color="000000" w:sz="4"/>
                    <w:right w:val="single" w:color="000000" w:sz="4"/>
                  </w:tcBorders>
                </w:tcPr>
                <w:p/>
              </w:tc>
              <w:tc>
                <w:tcPr>
                  <w:tcW w:type="dxa" w:w="1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输出：《应急演练方案》</w:t>
                  </w:r>
                </w:p>
              </w:tc>
            </w:tr>
            <w:tr>
              <w:tc>
                <w:tcPr>
                  <w:tcW w:type="dxa" w:w="3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11</w:t>
                  </w:r>
                </w:p>
                <w:p>
                  <w:pPr>
                    <w:pStyle w:val="null3"/>
                    <w:jc w:val="both"/>
                  </w:pPr>
                </w:p>
              </w:tc>
              <w:tc>
                <w:tcPr>
                  <w:tcW w:type="dxa" w:w="5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重要期间现场值守服务</w:t>
                  </w:r>
                </w:p>
                <w:p>
                  <w:pPr>
                    <w:pStyle w:val="null3"/>
                    <w:jc w:val="both"/>
                  </w:pPr>
                </w:p>
              </w:tc>
              <w:tc>
                <w:tcPr>
                  <w:tcW w:type="dxa" w:w="1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内容：服务期间提供1名技术人员，提供7*12小时现场值守服务；</w:t>
                  </w:r>
                </w:p>
              </w:tc>
            </w:tr>
            <w:tr>
              <w:tc>
                <w:tcPr>
                  <w:tcW w:type="dxa" w:w="337"/>
                  <w:vMerge/>
                  <w:tcBorders>
                    <w:top w:val="none" w:color="000000" w:sz="4"/>
                    <w:left w:val="single" w:color="000000" w:sz="4"/>
                    <w:bottom w:val="single" w:color="000000" w:sz="4"/>
                    <w:right w:val="single" w:color="000000" w:sz="4"/>
                  </w:tcBorders>
                </w:tcPr>
                <w:p/>
              </w:tc>
              <w:tc>
                <w:tcPr>
                  <w:tcW w:type="dxa" w:w="579"/>
                  <w:vMerge/>
                  <w:tcBorders>
                    <w:top w:val="none" w:color="000000" w:sz="4"/>
                    <w:left w:val="single" w:color="000000" w:sz="4"/>
                    <w:bottom w:val="single" w:color="000000" w:sz="4"/>
                    <w:right w:val="single" w:color="000000" w:sz="4"/>
                  </w:tcBorders>
                </w:tcPr>
                <w:p/>
              </w:tc>
              <w:tc>
                <w:tcPr>
                  <w:tcW w:type="dxa" w:w="1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服务期间提供每日威胁情报服务</w:t>
                  </w:r>
                </w:p>
              </w:tc>
            </w:tr>
            <w:tr>
              <w:tc>
                <w:tcPr>
                  <w:tcW w:type="dxa" w:w="337"/>
                  <w:vMerge/>
                  <w:tcBorders>
                    <w:top w:val="none" w:color="000000" w:sz="4"/>
                    <w:left w:val="single" w:color="000000" w:sz="4"/>
                    <w:bottom w:val="single" w:color="000000" w:sz="4"/>
                    <w:right w:val="single" w:color="000000" w:sz="4"/>
                  </w:tcBorders>
                </w:tcPr>
                <w:p/>
              </w:tc>
              <w:tc>
                <w:tcPr>
                  <w:tcW w:type="dxa" w:w="579"/>
                  <w:vMerge/>
                  <w:tcBorders>
                    <w:top w:val="none" w:color="000000" w:sz="4"/>
                    <w:left w:val="single" w:color="000000" w:sz="4"/>
                    <w:bottom w:val="single" w:color="000000" w:sz="4"/>
                    <w:right w:val="single" w:color="000000" w:sz="4"/>
                  </w:tcBorders>
                </w:tcPr>
                <w:p/>
              </w:tc>
              <w:tc>
                <w:tcPr>
                  <w:tcW w:type="dxa" w:w="1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根据客户实际需求配合进行相应值班、检查、分析、监控、加固等保障支持。</w:t>
                  </w:r>
                </w:p>
              </w:tc>
            </w:tr>
            <w:tr>
              <w:tc>
                <w:tcPr>
                  <w:tcW w:type="dxa" w:w="337"/>
                  <w:vMerge/>
                  <w:tcBorders>
                    <w:top w:val="none" w:color="000000" w:sz="4"/>
                    <w:left w:val="single" w:color="000000" w:sz="4"/>
                    <w:bottom w:val="single" w:color="000000" w:sz="4"/>
                    <w:right w:val="single" w:color="000000" w:sz="4"/>
                  </w:tcBorders>
                </w:tcPr>
                <w:p/>
              </w:tc>
              <w:tc>
                <w:tcPr>
                  <w:tcW w:type="dxa" w:w="579"/>
                  <w:vMerge/>
                  <w:tcBorders>
                    <w:top w:val="none" w:color="000000" w:sz="4"/>
                    <w:left w:val="single" w:color="000000" w:sz="4"/>
                    <w:bottom w:val="single" w:color="000000" w:sz="4"/>
                    <w:right w:val="single" w:color="000000" w:sz="4"/>
                  </w:tcBorders>
                </w:tcPr>
                <w:p/>
              </w:tc>
              <w:tc>
                <w:tcPr>
                  <w:tcW w:type="dxa" w:w="1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次数：2次，每次不少于10个工作日；</w:t>
                  </w:r>
                </w:p>
              </w:tc>
            </w:tr>
            <w:tr>
              <w:tc>
                <w:tcPr>
                  <w:tcW w:type="dxa" w:w="337"/>
                  <w:vMerge/>
                  <w:tcBorders>
                    <w:top w:val="none" w:color="000000" w:sz="4"/>
                    <w:left w:val="single" w:color="000000" w:sz="4"/>
                    <w:bottom w:val="single" w:color="000000" w:sz="4"/>
                    <w:right w:val="single" w:color="000000" w:sz="4"/>
                  </w:tcBorders>
                </w:tcPr>
                <w:p/>
              </w:tc>
              <w:tc>
                <w:tcPr>
                  <w:tcW w:type="dxa" w:w="579"/>
                  <w:vMerge/>
                  <w:tcBorders>
                    <w:top w:val="none" w:color="000000" w:sz="4"/>
                    <w:left w:val="single" w:color="000000" w:sz="4"/>
                    <w:bottom w:val="single" w:color="000000" w:sz="4"/>
                    <w:right w:val="single" w:color="000000" w:sz="4"/>
                  </w:tcBorders>
                </w:tcPr>
                <w:p/>
              </w:tc>
              <w:tc>
                <w:tcPr>
                  <w:tcW w:type="dxa" w:w="1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输出：《重要期间现场值守服务方案》</w:t>
                  </w:r>
                </w:p>
              </w:tc>
            </w:tr>
            <w:tr>
              <w:tc>
                <w:tcPr>
                  <w:tcW w:type="dxa" w:w="3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12</w:t>
                  </w:r>
                </w:p>
                <w:p>
                  <w:pPr>
                    <w:pStyle w:val="null3"/>
                    <w:jc w:val="both"/>
                  </w:pPr>
                </w:p>
              </w:tc>
              <w:tc>
                <w:tcPr>
                  <w:tcW w:type="dxa" w:w="5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溯源审计服务</w:t>
                  </w:r>
                </w:p>
                <w:p>
                  <w:pPr>
                    <w:pStyle w:val="null3"/>
                    <w:jc w:val="both"/>
                  </w:pPr>
                </w:p>
              </w:tc>
              <w:tc>
                <w:tcPr>
                  <w:tcW w:type="dxa" w:w="1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提供提供全流量溯源审计设备，在重大保障期间对发生的安全事件进行全流量溯源和分析。</w:t>
                  </w:r>
                </w:p>
              </w:tc>
            </w:tr>
            <w:tr>
              <w:tc>
                <w:tcPr>
                  <w:tcW w:type="dxa" w:w="337"/>
                  <w:vMerge/>
                  <w:tcBorders>
                    <w:top w:val="none" w:color="000000" w:sz="4"/>
                    <w:left w:val="single" w:color="000000" w:sz="4"/>
                    <w:bottom w:val="single" w:color="000000" w:sz="4"/>
                    <w:right w:val="single" w:color="000000" w:sz="4"/>
                  </w:tcBorders>
                </w:tcPr>
                <w:p/>
              </w:tc>
              <w:tc>
                <w:tcPr>
                  <w:tcW w:type="dxa" w:w="579"/>
                  <w:vMerge/>
                  <w:tcBorders>
                    <w:top w:val="none" w:color="000000" w:sz="4"/>
                    <w:left w:val="single" w:color="000000" w:sz="4"/>
                    <w:bottom w:val="single" w:color="000000" w:sz="4"/>
                    <w:right w:val="single" w:color="000000" w:sz="4"/>
                  </w:tcBorders>
                </w:tcPr>
                <w:p/>
              </w:tc>
              <w:tc>
                <w:tcPr>
                  <w:tcW w:type="dxa" w:w="1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输出：《溯源分析报告》</w:t>
                  </w:r>
                </w:p>
              </w:tc>
            </w:tr>
            <w:tr>
              <w:tc>
                <w:tcPr>
                  <w:tcW w:type="dxa" w:w="3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13</w:t>
                  </w:r>
                </w:p>
                <w:p>
                  <w:pPr>
                    <w:pStyle w:val="null3"/>
                    <w:jc w:val="both"/>
                  </w:pPr>
                </w:p>
              </w:tc>
              <w:tc>
                <w:tcPr>
                  <w:tcW w:type="dxa" w:w="5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安全巡检服务</w:t>
                  </w:r>
                </w:p>
                <w:p>
                  <w:pPr>
                    <w:pStyle w:val="null3"/>
                    <w:jc w:val="both"/>
                  </w:pPr>
                </w:p>
              </w:tc>
              <w:tc>
                <w:tcPr>
                  <w:tcW w:type="dxa" w:w="1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内容：每月对服务范围内的所有在运行安全系统及设备进行巡检，对设备的物理运行情况、、系统运行情况、系统资源利用情况、系统运行日志、相应功能是否正常运行等进行检查并记录，排除可能存在的安全问题和隐患。</w:t>
                  </w:r>
                </w:p>
              </w:tc>
            </w:tr>
            <w:tr>
              <w:tc>
                <w:tcPr>
                  <w:tcW w:type="dxa" w:w="337"/>
                  <w:vMerge/>
                  <w:tcBorders>
                    <w:top w:val="none" w:color="000000" w:sz="4"/>
                    <w:left w:val="single" w:color="000000" w:sz="4"/>
                    <w:bottom w:val="single" w:color="000000" w:sz="4"/>
                    <w:right w:val="single" w:color="000000" w:sz="4"/>
                  </w:tcBorders>
                </w:tcPr>
                <w:p/>
              </w:tc>
              <w:tc>
                <w:tcPr>
                  <w:tcW w:type="dxa" w:w="579"/>
                  <w:vMerge/>
                  <w:tcBorders>
                    <w:top w:val="none" w:color="000000" w:sz="4"/>
                    <w:left w:val="single" w:color="000000" w:sz="4"/>
                    <w:bottom w:val="single" w:color="000000" w:sz="4"/>
                    <w:right w:val="single" w:color="000000" w:sz="4"/>
                  </w:tcBorders>
                </w:tcPr>
                <w:p/>
              </w:tc>
              <w:tc>
                <w:tcPr>
                  <w:tcW w:type="dxa" w:w="1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次数：每月一次；</w:t>
                  </w:r>
                </w:p>
              </w:tc>
            </w:tr>
            <w:tr>
              <w:tc>
                <w:tcPr>
                  <w:tcW w:type="dxa" w:w="337"/>
                  <w:vMerge/>
                  <w:tcBorders>
                    <w:top w:val="none" w:color="000000" w:sz="4"/>
                    <w:left w:val="single" w:color="000000" w:sz="4"/>
                    <w:bottom w:val="single" w:color="000000" w:sz="4"/>
                    <w:right w:val="single" w:color="000000" w:sz="4"/>
                  </w:tcBorders>
                </w:tcPr>
                <w:p/>
              </w:tc>
              <w:tc>
                <w:tcPr>
                  <w:tcW w:type="dxa" w:w="579"/>
                  <w:vMerge/>
                  <w:tcBorders>
                    <w:top w:val="none" w:color="000000" w:sz="4"/>
                    <w:left w:val="single" w:color="000000" w:sz="4"/>
                    <w:bottom w:val="single" w:color="000000" w:sz="4"/>
                    <w:right w:val="single" w:color="000000" w:sz="4"/>
                  </w:tcBorders>
                </w:tcPr>
                <w:p/>
              </w:tc>
              <w:tc>
                <w:tcPr>
                  <w:tcW w:type="dxa" w:w="1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输出：《月度巡检报告》</w:t>
                  </w:r>
                </w:p>
              </w:tc>
            </w:tr>
            <w:tr>
              <w:tc>
                <w:tcPr>
                  <w:tcW w:type="dxa" w:w="3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14</w:t>
                  </w:r>
                </w:p>
                <w:p>
                  <w:pPr>
                    <w:pStyle w:val="null3"/>
                    <w:jc w:val="both"/>
                  </w:pPr>
                </w:p>
              </w:tc>
              <w:tc>
                <w:tcPr>
                  <w:tcW w:type="dxa" w:w="5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网络安全检查服务</w:t>
                  </w:r>
                </w:p>
                <w:p>
                  <w:pPr>
                    <w:pStyle w:val="null3"/>
                    <w:jc w:val="both"/>
                  </w:pPr>
                </w:p>
              </w:tc>
              <w:tc>
                <w:tcPr>
                  <w:tcW w:type="dxa" w:w="1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内容：向出租处提供网络安全检查技术支持服务，协助检查单位完成技术检查、合规检查、个人信息检查等服务。</w:t>
                  </w:r>
                </w:p>
              </w:tc>
            </w:tr>
            <w:tr>
              <w:tc>
                <w:tcPr>
                  <w:tcW w:type="dxa" w:w="337"/>
                  <w:vMerge/>
                  <w:tcBorders>
                    <w:top w:val="none" w:color="000000" w:sz="4"/>
                    <w:left w:val="single" w:color="000000" w:sz="4"/>
                    <w:bottom w:val="single" w:color="000000" w:sz="4"/>
                    <w:right w:val="single" w:color="000000" w:sz="4"/>
                  </w:tcBorders>
                </w:tcPr>
                <w:p/>
              </w:tc>
              <w:tc>
                <w:tcPr>
                  <w:tcW w:type="dxa" w:w="579"/>
                  <w:vMerge/>
                  <w:tcBorders>
                    <w:top w:val="none" w:color="000000" w:sz="4"/>
                    <w:left w:val="single" w:color="000000" w:sz="4"/>
                    <w:bottom w:val="single" w:color="000000" w:sz="4"/>
                    <w:right w:val="single" w:color="000000" w:sz="4"/>
                  </w:tcBorders>
                </w:tcPr>
                <w:p/>
              </w:tc>
              <w:tc>
                <w:tcPr>
                  <w:tcW w:type="dxa" w:w="1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次数：每年一次；</w:t>
                  </w:r>
                </w:p>
              </w:tc>
            </w:tr>
            <w:tr>
              <w:tc>
                <w:tcPr>
                  <w:tcW w:type="dxa" w:w="337"/>
                  <w:vMerge/>
                  <w:tcBorders>
                    <w:top w:val="none" w:color="000000" w:sz="4"/>
                    <w:left w:val="single" w:color="000000" w:sz="4"/>
                    <w:bottom w:val="single" w:color="000000" w:sz="4"/>
                    <w:right w:val="single" w:color="000000" w:sz="4"/>
                  </w:tcBorders>
                </w:tcPr>
                <w:p/>
              </w:tc>
              <w:tc>
                <w:tcPr>
                  <w:tcW w:type="dxa" w:w="579"/>
                  <w:vMerge/>
                  <w:tcBorders>
                    <w:top w:val="none" w:color="000000" w:sz="4"/>
                    <w:left w:val="single" w:color="000000" w:sz="4"/>
                    <w:bottom w:val="single" w:color="000000" w:sz="4"/>
                    <w:right w:val="single" w:color="000000" w:sz="4"/>
                  </w:tcBorders>
                </w:tcPr>
                <w:p/>
              </w:tc>
              <w:tc>
                <w:tcPr>
                  <w:tcW w:type="dxa" w:w="1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输出：《安全检查技术记录》</w:t>
                  </w:r>
                </w:p>
              </w:tc>
            </w:tr>
            <w:tr>
              <w:tc>
                <w:tcPr>
                  <w:tcW w:type="dxa" w:w="3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15</w:t>
                  </w:r>
                </w:p>
                <w:p>
                  <w:pPr>
                    <w:pStyle w:val="null3"/>
                    <w:jc w:val="both"/>
                  </w:pPr>
                </w:p>
              </w:tc>
              <w:tc>
                <w:tcPr>
                  <w:tcW w:type="dxa" w:w="5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安全意识培训</w:t>
                  </w:r>
                </w:p>
                <w:p>
                  <w:pPr>
                    <w:pStyle w:val="null3"/>
                    <w:jc w:val="both"/>
                  </w:pPr>
                </w:p>
              </w:tc>
              <w:tc>
                <w:tcPr>
                  <w:tcW w:type="dxa" w:w="1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内容：举行一次安全意识培训，包括安全意识培训，安全技能培训，要求提供专业安全厂家原厂培训团体进行培训服务，提供原厂服务承诺。</w:t>
                  </w:r>
                </w:p>
              </w:tc>
            </w:tr>
            <w:tr>
              <w:tc>
                <w:tcPr>
                  <w:tcW w:type="dxa" w:w="337"/>
                  <w:vMerge/>
                  <w:tcBorders>
                    <w:top w:val="none" w:color="000000" w:sz="4"/>
                    <w:left w:val="single" w:color="000000" w:sz="4"/>
                    <w:bottom w:val="single" w:color="000000" w:sz="4"/>
                    <w:right w:val="single" w:color="000000" w:sz="4"/>
                  </w:tcBorders>
                </w:tcPr>
                <w:p/>
              </w:tc>
              <w:tc>
                <w:tcPr>
                  <w:tcW w:type="dxa" w:w="579"/>
                  <w:vMerge/>
                  <w:tcBorders>
                    <w:top w:val="none" w:color="000000" w:sz="4"/>
                    <w:left w:val="single" w:color="000000" w:sz="4"/>
                    <w:bottom w:val="single" w:color="000000" w:sz="4"/>
                    <w:right w:val="single" w:color="000000" w:sz="4"/>
                  </w:tcBorders>
                </w:tcPr>
                <w:p/>
              </w:tc>
              <w:tc>
                <w:tcPr>
                  <w:tcW w:type="dxa" w:w="1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次数：每半年一次，不少1个工作日；</w:t>
                  </w:r>
                </w:p>
              </w:tc>
            </w:tr>
            <w:tr>
              <w:tc>
                <w:tcPr>
                  <w:tcW w:type="dxa" w:w="337"/>
                  <w:vMerge/>
                  <w:tcBorders>
                    <w:top w:val="none" w:color="000000" w:sz="4"/>
                    <w:left w:val="single" w:color="000000" w:sz="4"/>
                    <w:bottom w:val="single" w:color="000000" w:sz="4"/>
                    <w:right w:val="single" w:color="000000" w:sz="4"/>
                  </w:tcBorders>
                </w:tcPr>
                <w:p/>
              </w:tc>
              <w:tc>
                <w:tcPr>
                  <w:tcW w:type="dxa" w:w="579"/>
                  <w:vMerge/>
                  <w:tcBorders>
                    <w:top w:val="none" w:color="000000" w:sz="4"/>
                    <w:left w:val="single" w:color="000000" w:sz="4"/>
                    <w:bottom w:val="single" w:color="000000" w:sz="4"/>
                    <w:right w:val="single" w:color="000000" w:sz="4"/>
                  </w:tcBorders>
                </w:tcPr>
                <w:p/>
              </w:tc>
              <w:tc>
                <w:tcPr>
                  <w:tcW w:type="dxa" w:w="1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输出：《信息安全意识培训课程》</w:t>
                  </w:r>
                </w:p>
              </w:tc>
            </w:tr>
            <w:tr>
              <w:tc>
                <w:tcPr>
                  <w:tcW w:type="dxa" w:w="3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16</w:t>
                  </w:r>
                </w:p>
                <w:p>
                  <w:pPr>
                    <w:pStyle w:val="null3"/>
                    <w:jc w:val="both"/>
                  </w:pPr>
                </w:p>
              </w:tc>
              <w:tc>
                <w:tcPr>
                  <w:tcW w:type="dxa" w:w="5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管理咨询服务</w:t>
                  </w:r>
                </w:p>
                <w:p>
                  <w:pPr>
                    <w:pStyle w:val="null3"/>
                    <w:jc w:val="both"/>
                  </w:pPr>
                </w:p>
              </w:tc>
              <w:tc>
                <w:tcPr>
                  <w:tcW w:type="dxa" w:w="1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内容：根据安全策略方针、法律法规及安全服务要求，协助客户完善政策标准解读分析，提供安全管理体系建设指导工作。</w:t>
                  </w:r>
                </w:p>
              </w:tc>
            </w:tr>
            <w:tr>
              <w:tc>
                <w:tcPr>
                  <w:tcW w:type="dxa" w:w="337"/>
                  <w:vMerge/>
                  <w:tcBorders>
                    <w:top w:val="none" w:color="000000" w:sz="4"/>
                    <w:left w:val="single" w:color="000000" w:sz="4"/>
                    <w:bottom w:val="single" w:color="000000" w:sz="4"/>
                    <w:right w:val="single" w:color="000000" w:sz="4"/>
                  </w:tcBorders>
                </w:tcPr>
                <w:p/>
              </w:tc>
              <w:tc>
                <w:tcPr>
                  <w:tcW w:type="dxa" w:w="579"/>
                  <w:vMerge/>
                  <w:tcBorders>
                    <w:top w:val="none" w:color="000000" w:sz="4"/>
                    <w:left w:val="single" w:color="000000" w:sz="4"/>
                    <w:bottom w:val="single" w:color="000000" w:sz="4"/>
                    <w:right w:val="single" w:color="000000" w:sz="4"/>
                  </w:tcBorders>
                </w:tcPr>
                <w:p/>
              </w:tc>
              <w:tc>
                <w:tcPr>
                  <w:tcW w:type="dxa" w:w="1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次数：不限次数</w:t>
                  </w:r>
                </w:p>
              </w:tc>
            </w:tr>
            <w:tr>
              <w:tc>
                <w:tcPr>
                  <w:tcW w:type="dxa" w:w="3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17</w:t>
                  </w:r>
                </w:p>
                <w:p>
                  <w:pPr>
                    <w:pStyle w:val="null3"/>
                    <w:jc w:val="both"/>
                  </w:pPr>
                </w:p>
              </w:tc>
              <w:tc>
                <w:tcPr>
                  <w:tcW w:type="dxa" w:w="5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安全管理制度咨询服务</w:t>
                  </w:r>
                </w:p>
                <w:p>
                  <w:pPr>
                    <w:pStyle w:val="null3"/>
                    <w:jc w:val="both"/>
                  </w:pPr>
                </w:p>
              </w:tc>
              <w:tc>
                <w:tcPr>
                  <w:tcW w:type="dxa" w:w="1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内容：参照网络安全等级保护基本要求、行业相关网络安全要求和网络安全法等相关法律法规文件要求，协助车管处完善网络安全制度建设。保障工作实现有法可依。要求提供专业安全厂家原厂咨询服务，提供原厂服务承诺。</w:t>
                  </w:r>
                </w:p>
              </w:tc>
            </w:tr>
            <w:tr>
              <w:tc>
                <w:tcPr>
                  <w:tcW w:type="dxa" w:w="337"/>
                  <w:vMerge/>
                  <w:tcBorders>
                    <w:top w:val="none" w:color="000000" w:sz="4"/>
                    <w:left w:val="single" w:color="000000" w:sz="4"/>
                    <w:bottom w:val="single" w:color="000000" w:sz="4"/>
                    <w:right w:val="single" w:color="000000" w:sz="4"/>
                  </w:tcBorders>
                </w:tcPr>
                <w:p/>
              </w:tc>
              <w:tc>
                <w:tcPr>
                  <w:tcW w:type="dxa" w:w="579"/>
                  <w:vMerge/>
                  <w:tcBorders>
                    <w:top w:val="none" w:color="000000" w:sz="4"/>
                    <w:left w:val="single" w:color="000000" w:sz="4"/>
                    <w:bottom w:val="single" w:color="000000" w:sz="4"/>
                    <w:right w:val="single" w:color="000000" w:sz="4"/>
                  </w:tcBorders>
                </w:tcPr>
                <w:p/>
              </w:tc>
              <w:tc>
                <w:tcPr>
                  <w:tcW w:type="dxa" w:w="1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次数：不限次数，</w:t>
                  </w:r>
                </w:p>
              </w:tc>
            </w:tr>
          </w:tbl>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1"/>
              </w:rPr>
              <w:t>五、商务要求</w:t>
            </w:r>
          </w:p>
          <w:p>
            <w:pPr>
              <w:pStyle w:val="null3"/>
            </w:pPr>
            <w:r>
              <w:rPr>
                <w:rFonts w:ascii="仿宋_GB2312" w:hAnsi="仿宋_GB2312" w:cs="仿宋_GB2312" w:eastAsia="仿宋_GB2312"/>
                <w:sz w:val="21"/>
              </w:rPr>
              <w:t>1.服务期限：自合同签订之日起一年；</w:t>
            </w:r>
          </w:p>
          <w:p>
            <w:pPr>
              <w:pStyle w:val="null3"/>
            </w:pPr>
            <w:r>
              <w:rPr>
                <w:rFonts w:ascii="仿宋_GB2312" w:hAnsi="仿宋_GB2312" w:cs="仿宋_GB2312" w:eastAsia="仿宋_GB2312"/>
                <w:sz w:val="21"/>
              </w:rPr>
              <w:t>2.服务地点：采购人指定地点；</w:t>
            </w:r>
          </w:p>
          <w:p>
            <w:pPr>
              <w:pStyle w:val="null3"/>
              <w:jc w:val="both"/>
            </w:pPr>
            <w:r>
              <w:rPr>
                <w:rFonts w:ascii="仿宋_GB2312" w:hAnsi="仿宋_GB2312" w:cs="仿宋_GB2312" w:eastAsia="仿宋_GB2312"/>
                <w:sz w:val="21"/>
              </w:rPr>
              <w:t>3.服务质量：质量达到现行合格标准，符合国家、行业、地方规定的质量和安全标准要求。</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根据采购文件、响应文件约定。</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根据采购文件、响应文件约定。</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签订合同时具体约定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自双方合同生效后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完成合同要求的服务期满6个月</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合同期满，履约验收完成</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签订合同时具体约定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本人身份证复印件及近三个月社保参保证明（附在资格证明文件中）；法定代表人授权他人参加投标的，须提供法定代表人授权委托书及被授权人近三个月社保参保证明（按格式填写，提供原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供应商提供2023年度或2024年度经审计的完整财务会计报告（成立时间至提交响应文件截止时间不足一年的可提供成立后任意时段的资产负债表），或其开标前三个月内银行出具的资信证明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提供响应文件递交截止日前六个月内已缴存的至少一个月的社会保障资金缴存单据或社保机构开具的社会保险参保缴费情况证明，依法不需要缴纳社会保障资金的单位应提供相关证明材料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提供响应文件递交截止日前六个月内已缴纳的至少一个月的纳税证明或完税证明，纳税证明或完税证明上应有代收机构或税务机关的公章，依法免税的单位应提供相关证明材料</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提供《供应商信用记录书面声明函》（按格式填写，提供原件）。经查，投标人未被列入“信用中国”网站记录的“失信被执行人”或“重大税收违法失信主体”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本项目不接受联合体响应，不允许分包。投标人提供《非联合体不分包投标声明》</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法定代表人或被授权人的签字齐全并加盖公章</w:t>
            </w:r>
          </w:p>
        </w:tc>
        <w:tc>
          <w:tcPr>
            <w:tcW w:type="dxa" w:w="1661"/>
          </w:tcPr>
          <w:p>
            <w:pPr>
              <w:pStyle w:val="null3"/>
            </w:pPr>
            <w:r>
              <w:rPr>
                <w:rFonts w:ascii="仿宋_GB2312" w:hAnsi="仿宋_GB2312" w:cs="仿宋_GB2312" w:eastAsia="仿宋_GB2312"/>
              </w:rPr>
              <w:t>响应文件封面 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按招标文件要求报价，不得提交选择性报价，且报价不超过采购预算金额或最高限价。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对采购文件响应程度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符合“响应文件格式”要求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报价表 资格证明材料.docx 响应函 供应商承诺书.docx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完全理解并接受《质量安全责任承诺书》、《拒绝政府采购领域商业贿赂承诺书》。</w:t>
            </w:r>
          </w:p>
        </w:tc>
        <w:tc>
          <w:tcPr>
            <w:tcW w:type="dxa" w:w="1661"/>
          </w:tcPr>
          <w:p>
            <w:pPr>
              <w:pStyle w:val="null3"/>
            </w:pPr>
            <w:r>
              <w:rPr>
                <w:rFonts w:ascii="仿宋_GB2312" w:hAnsi="仿宋_GB2312" w:cs="仿宋_GB2312" w:eastAsia="仿宋_GB2312"/>
              </w:rPr>
              <w:t>供应商承诺书.docx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安全运维服务方案</w:t>
            </w:r>
          </w:p>
        </w:tc>
        <w:tc>
          <w:tcPr>
            <w:tcW w:type="dxa" w:w="2492"/>
          </w:tcPr>
          <w:p>
            <w:pPr>
              <w:pStyle w:val="null3"/>
            </w:pPr>
            <w:r>
              <w:rPr>
                <w:rFonts w:ascii="仿宋_GB2312" w:hAnsi="仿宋_GB2312" w:cs="仿宋_GB2312" w:eastAsia="仿宋_GB2312"/>
              </w:rPr>
              <w:t>供应商针对本项目为采购人所提供的资产梳理服务；预警通告服务；勒索、挖矿等检测服务；安全巡检服务等总体安全服务方案，由磋商小组进行评审： 方案内容详细具体、科学合理、可行性高得12分； 方案较详细、较合理、可行性较高得8； 方案一般、可行性一般得4分； 未提供方案不得分。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安全评估与咨询方案</w:t>
            </w:r>
          </w:p>
        </w:tc>
        <w:tc>
          <w:tcPr>
            <w:tcW w:type="dxa" w:w="2492"/>
          </w:tcPr>
          <w:p>
            <w:pPr>
              <w:pStyle w:val="null3"/>
            </w:pPr>
            <w:r>
              <w:rPr>
                <w:rFonts w:ascii="仿宋_GB2312" w:hAnsi="仿宋_GB2312" w:cs="仿宋_GB2312" w:eastAsia="仿宋_GB2312"/>
              </w:rPr>
              <w:t>供应商针对本项目为采购人所提供的漏洞扫描服务；基线合规检查服务；风险评估服务；网络安全检查服务；安全意识培训；管理咨询服务；安全管理制度咨询等总体安全服务方案，由磋商小组进行评审： 方案内容详细具体、科学合理、可行性高得20分； 方案较详细、较合理、可行性较高得14； 方案一般、可行性一般得7分； 未提供方案不得分。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供应商针对本项目提供的突发安全事件的应急响应方案，应急演练服务等，内容由磋商小组进行评审： 方案内容详细具体、科学合理、可行性高得15分； 方案较详细、较合理、可行性较高得8分； 方案一般、可行性一般得4分； 未提供方案不得分。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安全保障方案</w:t>
            </w:r>
          </w:p>
        </w:tc>
        <w:tc>
          <w:tcPr>
            <w:tcW w:type="dxa" w:w="2492"/>
          </w:tcPr>
          <w:p>
            <w:pPr>
              <w:pStyle w:val="null3"/>
            </w:pPr>
            <w:r>
              <w:rPr>
                <w:rFonts w:ascii="仿宋_GB2312" w:hAnsi="仿宋_GB2312" w:cs="仿宋_GB2312" w:eastAsia="仿宋_GB2312"/>
              </w:rPr>
              <w:t>供应商针对本项目提供的态势感知服务；日志审计服务；溯源审计服务；重要期间现场值守服务等内容，由磋商小组进行评审： 方案内容详细具体、科学合理、可行性高得20分； 方案较详细、较合理、可行性较高得15分； 方案一般、可行性一般得7分； 未提供方案不得分。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服务团队配备情况</w:t>
            </w:r>
          </w:p>
        </w:tc>
        <w:tc>
          <w:tcPr>
            <w:tcW w:type="dxa" w:w="2492"/>
          </w:tcPr>
          <w:p>
            <w:pPr>
              <w:pStyle w:val="null3"/>
            </w:pPr>
            <w:r>
              <w:rPr>
                <w:rFonts w:ascii="仿宋_GB2312" w:hAnsi="仿宋_GB2312" w:cs="仿宋_GB2312" w:eastAsia="仿宋_GB2312"/>
              </w:rPr>
              <w:t>1.拟派项目经理或技术负责人：具备CISSP证书、PMP、ISO27001LA证书，每提供一项得2分，本项最高得6分。 2.安全评估人员：团队成员具备NSACE证书或CISAW证书（风险管理方向），每提供1人得1分，本项最高得5分。 3.培训讲师：具有CISSP证书得1分。本项最高得1分。 4.服务团队：团队人员具备原创漏洞挖掘能力，需提供CNVD原创漏洞证明，50个以上得6分，40个以上得5分，30个以上得4分，提供数量不足以上的得2分，未提供不得分。本项最高得6分。 5.承诺针对本项目拟派的技术及维保人员，均为本项目专属配置，并在服务期内提供驻场服务，得2分。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供应商或服务团队提供近三年已完成（自2022年1月1日起至今）类似项目业绩（合同或中标通知书）证明材料，每提供1项业绩证明材料的得1分，本项最多得3分。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投标报价采用低价优先法计算，即满足磋商文件要求且最后投标报价最低的报价为评审基准价，其价格分为满分。其他供应商的价格分统一按照下列公式计算： 投标报价得分=【评标基准价/投标报价（最终报价）】×10。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