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28578">
      <w:pPr>
        <w:shd w:val="clear"/>
        <w:spacing w:line="360" w:lineRule="auto"/>
        <w:jc w:val="center"/>
        <w:outlineLvl w:val="0"/>
        <w:rPr>
          <w:rStyle w:val="10"/>
          <w:rFonts w:ascii="Times New Roman" w:eastAsia="仿宋" w:hAnsiTheme="minorHAnsi" w:cstheme="minorBidi"/>
          <w:color w:val="auto"/>
          <w:szCs w:val="32"/>
          <w:highlight w:val="none"/>
        </w:rPr>
      </w:pPr>
      <w:bookmarkStart w:id="0" w:name="_Hlt487972895"/>
      <w:bookmarkEnd w:id="0"/>
      <w:r>
        <w:rPr>
          <w:rStyle w:val="10"/>
          <w:rFonts w:ascii="Times New Roman" w:eastAsia="仿宋" w:hAnsiTheme="minorHAnsi" w:cstheme="minorBidi"/>
          <w:b/>
          <w:color w:val="auto"/>
          <w:sz w:val="32"/>
          <w:szCs w:val="32"/>
          <w:highlight w:val="none"/>
        </w:rPr>
        <w:t>拟签订的合同文本</w:t>
      </w:r>
    </w:p>
    <w:tbl>
      <w:tblPr>
        <w:tblStyle w:val="8"/>
        <w:tblpPr w:leftFromText="180" w:rightFromText="180" w:vertAnchor="text" w:horzAnchor="page" w:tblpX="8555" w:tblpY="57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tblGrid>
      <w:tr w14:paraId="3C358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376" w:type="dxa"/>
          </w:tcPr>
          <w:p w14:paraId="6C0BF2EB">
            <w:pPr>
              <w:shd w:val="clear"/>
              <w:ind w:firstLine="201" w:firstLineChars="100"/>
              <w:rPr>
                <w:rFonts w:ascii="黑体" w:eastAsia="黑体"/>
                <w:b/>
                <w:color w:val="auto"/>
                <w:sz w:val="18"/>
                <w:szCs w:val="18"/>
                <w:highlight w:val="none"/>
              </w:rPr>
            </w:pPr>
            <w:r>
              <w:rPr>
                <w:rFonts w:hint="eastAsia" w:ascii="黑体" w:eastAsia="黑体"/>
                <w:b/>
                <w:color w:val="auto"/>
                <w:sz w:val="20"/>
                <w:szCs w:val="20"/>
                <w:highlight w:val="none"/>
              </w:rPr>
              <w:t>医疗设备</w:t>
            </w:r>
          </w:p>
        </w:tc>
      </w:tr>
    </w:tbl>
    <w:p w14:paraId="694A71A9">
      <w:pPr>
        <w:shd w:val="clear"/>
        <w:jc w:val="both"/>
        <w:rPr>
          <w:rFonts w:ascii="黑体" w:eastAsia="黑体"/>
          <w:color w:val="auto"/>
          <w:sz w:val="52"/>
          <w:szCs w:val="52"/>
          <w:highlight w:val="none"/>
        </w:rPr>
      </w:pPr>
    </w:p>
    <w:p w14:paraId="445570CF">
      <w:pPr>
        <w:shd w:val="clear"/>
        <w:ind w:firstLine="2120" w:firstLineChars="400"/>
        <w:rPr>
          <w:rFonts w:hint="eastAsia" w:ascii="黑体" w:hAnsi="宋体" w:eastAsia="黑体"/>
          <w:b/>
          <w:color w:val="auto"/>
          <w:spacing w:val="4"/>
          <w:sz w:val="52"/>
          <w:szCs w:val="48"/>
          <w:highlight w:val="none"/>
        </w:rPr>
      </w:pPr>
      <w:r>
        <w:rPr>
          <w:rFonts w:hint="eastAsia" w:ascii="黑体" w:hAnsi="宋体" w:eastAsia="黑体"/>
          <w:b/>
          <w:color w:val="auto"/>
          <w:spacing w:val="4"/>
          <w:sz w:val="52"/>
          <w:szCs w:val="48"/>
          <w:highlight w:val="none"/>
        </w:rPr>
        <w:t>西安市中心医院货物类</w:t>
      </w:r>
    </w:p>
    <w:p w14:paraId="3C149E8F">
      <w:pPr>
        <w:shd w:val="clear"/>
        <w:ind w:firstLine="3233" w:firstLineChars="350"/>
        <w:rPr>
          <w:rFonts w:eastAsia="黑体"/>
          <w:b/>
          <w:color w:val="auto"/>
          <w:spacing w:val="-20"/>
          <w:sz w:val="96"/>
          <w:szCs w:val="58"/>
          <w:highlight w:val="none"/>
        </w:rPr>
      </w:pPr>
    </w:p>
    <w:p w14:paraId="11AE3372">
      <w:pPr>
        <w:shd w:val="clear"/>
        <w:ind w:firstLine="3614" w:firstLineChars="500"/>
        <w:rPr>
          <w:rFonts w:ascii="黑体" w:eastAsia="黑体"/>
          <w:b/>
          <w:color w:val="auto"/>
          <w:sz w:val="72"/>
          <w:szCs w:val="72"/>
          <w:highlight w:val="none"/>
        </w:rPr>
      </w:pPr>
      <w:r>
        <w:rPr>
          <w:rFonts w:hint="eastAsia" w:ascii="黑体" w:eastAsia="黑体"/>
          <w:b/>
          <w:color w:val="auto"/>
          <w:sz w:val="72"/>
          <w:szCs w:val="72"/>
          <w:highlight w:val="none"/>
        </w:rPr>
        <w:t>合  同</w:t>
      </w:r>
    </w:p>
    <w:p w14:paraId="2ACDFD64">
      <w:pPr>
        <w:shd w:val="clear"/>
        <w:jc w:val="center"/>
        <w:rPr>
          <w:rFonts w:ascii="黑体" w:eastAsia="黑体"/>
          <w:b/>
          <w:color w:val="auto"/>
          <w:sz w:val="72"/>
          <w:szCs w:val="72"/>
          <w:highlight w:val="none"/>
        </w:rPr>
      </w:pPr>
    </w:p>
    <w:p w14:paraId="46A38F7B">
      <w:pPr>
        <w:shd w:val="clear"/>
        <w:ind w:firstLine="3080" w:firstLineChars="1100"/>
        <w:rPr>
          <w:rFonts w:ascii="黑体" w:eastAsia="黑体"/>
          <w:color w:val="auto"/>
          <w:sz w:val="28"/>
          <w:szCs w:val="30"/>
          <w:highlight w:val="none"/>
        </w:rPr>
      </w:pPr>
    </w:p>
    <w:p w14:paraId="0BE7BC77">
      <w:pPr>
        <w:shd w:val="clear"/>
        <w:ind w:firstLine="1120" w:firstLineChars="400"/>
        <w:rPr>
          <w:rFonts w:hint="eastAsia" w:ascii="黑体" w:hAnsi="黑体" w:eastAsia="黑体" w:cs="黑体"/>
          <w:color w:val="auto"/>
          <w:sz w:val="28"/>
          <w:szCs w:val="28"/>
          <w:highlight w:val="none"/>
          <w:u w:val="single"/>
        </w:rPr>
      </w:pPr>
      <w:bookmarkStart w:id="1" w:name="_Hlk205215532"/>
      <w:r>
        <w:rPr>
          <w:rFonts w:hint="eastAsia" w:ascii="黑体" w:eastAsia="黑体"/>
          <w:color w:val="auto"/>
          <w:sz w:val="28"/>
          <w:szCs w:val="30"/>
          <w:highlight w:val="none"/>
        </w:rPr>
        <w:t>项目名称：</w:t>
      </w:r>
      <w:r>
        <w:rPr>
          <w:rFonts w:ascii="黑体" w:eastAsia="黑体"/>
          <w:color w:val="auto"/>
          <w:sz w:val="28"/>
          <w:szCs w:val="30"/>
          <w:highlight w:val="none"/>
        </w:rPr>
        <w:t xml:space="preserve"> </w:t>
      </w:r>
      <w:r>
        <w:rPr>
          <w:rFonts w:ascii="黑体" w:eastAsia="黑体"/>
          <w:color w:val="auto"/>
          <w:sz w:val="28"/>
          <w:szCs w:val="30"/>
          <w:highlight w:val="none"/>
          <w:u w:val="single"/>
        </w:rPr>
        <w:t xml:space="preserve">                                 </w:t>
      </w:r>
      <w:r>
        <w:rPr>
          <w:rFonts w:ascii="黑体" w:hAnsi="黑体" w:eastAsia="黑体" w:cs="黑体"/>
          <w:color w:val="auto"/>
          <w:sz w:val="28"/>
          <w:szCs w:val="28"/>
          <w:highlight w:val="none"/>
          <w:u w:val="single"/>
        </w:rPr>
        <w:t xml:space="preserve"> </w:t>
      </w:r>
    </w:p>
    <w:p w14:paraId="01F4C2A7">
      <w:pPr>
        <w:shd w:val="clear"/>
        <w:ind w:firstLine="1120" w:firstLineChars="400"/>
        <w:rPr>
          <w:rFonts w:hint="eastAsia" w:ascii="黑体" w:hAnsi="黑体" w:eastAsia="黑体" w:cs="黑体"/>
          <w:color w:val="auto"/>
          <w:sz w:val="28"/>
          <w:szCs w:val="28"/>
          <w:highlight w:val="none"/>
          <w:u w:val="single"/>
        </w:rPr>
      </w:pPr>
      <w:r>
        <w:rPr>
          <w:rFonts w:hint="eastAsia" w:ascii="黑体" w:hAnsi="黑体" w:eastAsia="黑体" w:cs="黑体"/>
          <w:color w:val="auto"/>
          <w:sz w:val="28"/>
          <w:szCs w:val="28"/>
          <w:highlight w:val="none"/>
        </w:rPr>
        <w:t>项目编号：</w:t>
      </w:r>
      <w:r>
        <w:rPr>
          <w:rFonts w:ascii="黑体" w:hAnsi="黑体" w:eastAsia="黑体" w:cs="黑体"/>
          <w:color w:val="auto"/>
          <w:sz w:val="28"/>
          <w:szCs w:val="28"/>
          <w:highlight w:val="none"/>
        </w:rPr>
        <w:t xml:space="preserve"> </w:t>
      </w:r>
      <w:r>
        <w:rPr>
          <w:rFonts w:ascii="黑体" w:hAnsi="黑体" w:eastAsia="黑体" w:cs="黑体"/>
          <w:color w:val="auto"/>
          <w:sz w:val="28"/>
          <w:szCs w:val="28"/>
          <w:highlight w:val="none"/>
          <w:u w:val="single"/>
        </w:rPr>
        <w:t xml:space="preserve">                                  </w:t>
      </w:r>
    </w:p>
    <w:p w14:paraId="0DA54460">
      <w:pPr>
        <w:shd w:val="clear"/>
        <w:jc w:val="center"/>
        <w:rPr>
          <w:rFonts w:ascii="黑体" w:eastAsia="黑体"/>
          <w:color w:val="auto"/>
          <w:sz w:val="28"/>
          <w:szCs w:val="30"/>
          <w:highlight w:val="none"/>
        </w:rPr>
      </w:pPr>
    </w:p>
    <w:p w14:paraId="07400DB7">
      <w:pPr>
        <w:shd w:val="clear"/>
        <w:jc w:val="center"/>
        <w:rPr>
          <w:rFonts w:ascii="黑体" w:eastAsia="黑体"/>
          <w:color w:val="auto"/>
          <w:sz w:val="28"/>
          <w:szCs w:val="30"/>
          <w:highlight w:val="none"/>
        </w:rPr>
      </w:pPr>
    </w:p>
    <w:p w14:paraId="3F39EA10">
      <w:pPr>
        <w:shd w:val="clear"/>
        <w:jc w:val="center"/>
        <w:rPr>
          <w:rFonts w:ascii="黑体" w:eastAsia="黑体"/>
          <w:color w:val="auto"/>
          <w:sz w:val="28"/>
          <w:szCs w:val="30"/>
          <w:highlight w:val="none"/>
        </w:rPr>
      </w:pPr>
    </w:p>
    <w:p w14:paraId="65D99068">
      <w:pPr>
        <w:shd w:val="clear"/>
        <w:jc w:val="center"/>
        <w:rPr>
          <w:rFonts w:ascii="黑体" w:eastAsia="黑体"/>
          <w:color w:val="auto"/>
          <w:sz w:val="28"/>
          <w:szCs w:val="30"/>
          <w:highlight w:val="none"/>
        </w:rPr>
      </w:pPr>
    </w:p>
    <w:p w14:paraId="53F67E96">
      <w:pPr>
        <w:shd w:val="clear"/>
        <w:jc w:val="both"/>
        <w:rPr>
          <w:rFonts w:ascii="黑体" w:eastAsia="黑体"/>
          <w:color w:val="auto"/>
          <w:sz w:val="28"/>
          <w:szCs w:val="30"/>
          <w:highlight w:val="none"/>
        </w:rPr>
      </w:pPr>
    </w:p>
    <w:p w14:paraId="7F85CD18">
      <w:pPr>
        <w:shd w:val="clear"/>
        <w:ind w:firstLine="2240" w:firstLineChars="700"/>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甲  方：西安市中心医院</w:t>
      </w:r>
    </w:p>
    <w:p w14:paraId="6BB40EA7">
      <w:pPr>
        <w:shd w:val="clear"/>
        <w:tabs>
          <w:tab w:val="left" w:pos="480"/>
        </w:tabs>
        <w:ind w:firstLine="2240" w:firstLineChars="700"/>
        <w:rPr>
          <w:rFonts w:hint="eastAsia" w:ascii="黑体" w:hAnsi="黑体" w:eastAsia="黑体" w:cs="黑体"/>
          <w:color w:val="auto"/>
          <w:sz w:val="32"/>
          <w:szCs w:val="32"/>
          <w:highlight w:val="none"/>
        </w:rPr>
      </w:pPr>
      <w:r>
        <w:rPr>
          <w:rFonts w:hint="eastAsia" w:ascii="黑体" w:hAnsi="宋体" w:eastAsia="黑体"/>
          <w:color w:val="auto"/>
          <w:sz w:val="32"/>
          <w:szCs w:val="32"/>
          <w:highlight w:val="none"/>
        </w:rPr>
        <w:t>乙  方：</w:t>
      </w:r>
      <w:r>
        <w:rPr>
          <w:rFonts w:ascii="黑体" w:hAnsi="宋体" w:eastAsia="黑体"/>
          <w:color w:val="auto"/>
          <w:sz w:val="32"/>
          <w:szCs w:val="32"/>
          <w:highlight w:val="none"/>
        </w:rPr>
        <w:t xml:space="preserve">                          </w:t>
      </w:r>
    </w:p>
    <w:p w14:paraId="2965646F">
      <w:pPr>
        <w:shd w:val="clear"/>
        <w:rPr>
          <w:rFonts w:hint="eastAsia" w:ascii="黑体" w:hAnsi="宋体" w:eastAsia="黑体"/>
          <w:color w:val="auto"/>
          <w:sz w:val="32"/>
          <w:szCs w:val="32"/>
          <w:highlight w:val="none"/>
        </w:rPr>
      </w:pPr>
    </w:p>
    <w:p w14:paraId="53EA196C">
      <w:pPr>
        <w:shd w:val="clear"/>
        <w:ind w:firstLine="3200" w:firstLineChars="1000"/>
        <w:rPr>
          <w:rFonts w:eastAsia="等线"/>
          <w:color w:val="auto"/>
          <w:highlight w:val="none"/>
        </w:rPr>
      </w:pPr>
      <w:r>
        <w:rPr>
          <w:rFonts w:hint="eastAsia" w:ascii="黑体" w:hAnsi="宋体" w:eastAsia="黑体"/>
          <w:color w:val="auto"/>
          <w:sz w:val="32"/>
          <w:szCs w:val="32"/>
          <w:highlight w:val="none"/>
        </w:rPr>
        <w:t>二O二</w:t>
      </w:r>
      <w:r>
        <w:rPr>
          <w:rFonts w:ascii="黑体" w:hAnsi="宋体" w:eastAsia="黑体"/>
          <w:color w:val="auto"/>
          <w:sz w:val="32"/>
          <w:szCs w:val="32"/>
          <w:highlight w:val="none"/>
        </w:rPr>
        <w:t xml:space="preserve"> </w:t>
      </w:r>
      <w:r>
        <w:rPr>
          <w:rFonts w:hint="eastAsia" w:ascii="黑体" w:hAnsi="宋体" w:eastAsia="黑体"/>
          <w:color w:val="auto"/>
          <w:sz w:val="32"/>
          <w:szCs w:val="32"/>
          <w:highlight w:val="none"/>
        </w:rPr>
        <w:t>五 年   月</w:t>
      </w:r>
      <w:bookmarkEnd w:id="1"/>
    </w:p>
    <w:p w14:paraId="296230FC">
      <w:pPr>
        <w:shd w:val="clear"/>
        <w:tabs>
          <w:tab w:val="left" w:pos="480"/>
        </w:tabs>
        <w:spacing w:line="360" w:lineRule="auto"/>
        <w:ind w:firstLine="480" w:firstLineChars="200"/>
        <w:jc w:val="left"/>
        <w:rPr>
          <w:rFonts w:hint="eastAsia" w:ascii="仿宋" w:hAnsi="仿宋" w:eastAsia="仿宋" w:cs="仿宋"/>
          <w:color w:val="auto"/>
          <w:sz w:val="24"/>
          <w:highlight w:val="none"/>
        </w:rPr>
      </w:pPr>
    </w:p>
    <w:p w14:paraId="3A8C799A">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甲方：西安市中心医院 </w:t>
      </w:r>
    </w:p>
    <w:p w14:paraId="33CC573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w:t>
      </w:r>
    </w:p>
    <w:p w14:paraId="4A16D3E8">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就甲方所需货物，按照政府采购程序组织招标，确定乙方为成交供应商。依据《中华人民共和国政府采购法》、《中华人民共和国招标投标法》、《中华人民共和国民法典》，经甲、乙双方协商、确认，达成如下条款。</w:t>
      </w:r>
    </w:p>
    <w:p w14:paraId="7A05285B">
      <w:pPr>
        <w:tabs>
          <w:tab w:val="left" w:pos="480"/>
        </w:tabs>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一、合同标的货物内容及数量</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268"/>
        <w:gridCol w:w="1182"/>
        <w:gridCol w:w="1226"/>
        <w:gridCol w:w="1073"/>
        <w:gridCol w:w="920"/>
        <w:gridCol w:w="1154"/>
        <w:gridCol w:w="1096"/>
        <w:gridCol w:w="960"/>
      </w:tblGrid>
      <w:tr w14:paraId="75DA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88" w:type="dxa"/>
            <w:vAlign w:val="center"/>
          </w:tcPr>
          <w:p w14:paraId="68835884">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268" w:type="dxa"/>
            <w:vAlign w:val="center"/>
          </w:tcPr>
          <w:p w14:paraId="43FBF4A1">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设备名称</w:t>
            </w:r>
          </w:p>
        </w:tc>
        <w:tc>
          <w:tcPr>
            <w:tcW w:w="1182" w:type="dxa"/>
            <w:vAlign w:val="center"/>
          </w:tcPr>
          <w:p w14:paraId="2ABA5F74">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规格参数</w:t>
            </w:r>
          </w:p>
        </w:tc>
        <w:tc>
          <w:tcPr>
            <w:tcW w:w="1226" w:type="dxa"/>
            <w:vAlign w:val="center"/>
          </w:tcPr>
          <w:p w14:paraId="0E0C1877">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生产</w:t>
            </w:r>
          </w:p>
          <w:p w14:paraId="523C338E">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73" w:type="dxa"/>
            <w:vAlign w:val="center"/>
          </w:tcPr>
          <w:p w14:paraId="0273D29B">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计量</w:t>
            </w:r>
          </w:p>
          <w:p w14:paraId="1910BDA0">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920" w:type="dxa"/>
            <w:vAlign w:val="center"/>
          </w:tcPr>
          <w:p w14:paraId="7631D748">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154" w:type="dxa"/>
            <w:vAlign w:val="center"/>
          </w:tcPr>
          <w:p w14:paraId="0F40FC56">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单价</w:t>
            </w:r>
          </w:p>
          <w:p w14:paraId="0A9650FF">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（万元）</w:t>
            </w:r>
          </w:p>
        </w:tc>
        <w:tc>
          <w:tcPr>
            <w:tcW w:w="1096" w:type="dxa"/>
            <w:vAlign w:val="center"/>
          </w:tcPr>
          <w:p w14:paraId="2C76F331">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金额</w:t>
            </w:r>
          </w:p>
          <w:p w14:paraId="57CF6362">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（万元）</w:t>
            </w:r>
          </w:p>
        </w:tc>
        <w:tc>
          <w:tcPr>
            <w:tcW w:w="960" w:type="dxa"/>
            <w:vAlign w:val="center"/>
          </w:tcPr>
          <w:p w14:paraId="7ABFE5F3">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7A043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vAlign w:val="center"/>
          </w:tcPr>
          <w:p w14:paraId="69350429">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268" w:type="dxa"/>
            <w:vAlign w:val="center"/>
          </w:tcPr>
          <w:p w14:paraId="494AC3D6">
            <w:pPr>
              <w:tabs>
                <w:tab w:val="left" w:pos="480"/>
              </w:tabs>
              <w:spacing w:line="360" w:lineRule="auto"/>
              <w:jc w:val="center"/>
              <w:rPr>
                <w:rFonts w:hint="eastAsia" w:ascii="仿宋" w:hAnsi="仿宋" w:eastAsia="仿宋" w:cs="仿宋"/>
                <w:color w:val="auto"/>
                <w:sz w:val="24"/>
                <w:highlight w:val="none"/>
              </w:rPr>
            </w:pPr>
          </w:p>
        </w:tc>
        <w:tc>
          <w:tcPr>
            <w:tcW w:w="1182" w:type="dxa"/>
            <w:vAlign w:val="center"/>
          </w:tcPr>
          <w:p w14:paraId="47DCFCDD">
            <w:pPr>
              <w:tabs>
                <w:tab w:val="left" w:pos="480"/>
              </w:tabs>
              <w:spacing w:line="360" w:lineRule="auto"/>
              <w:jc w:val="center"/>
              <w:rPr>
                <w:rFonts w:hint="eastAsia" w:ascii="仿宋" w:hAnsi="仿宋" w:eastAsia="仿宋" w:cs="仿宋"/>
                <w:color w:val="auto"/>
                <w:sz w:val="24"/>
                <w:highlight w:val="none"/>
              </w:rPr>
            </w:pPr>
          </w:p>
        </w:tc>
        <w:tc>
          <w:tcPr>
            <w:tcW w:w="1226" w:type="dxa"/>
            <w:vAlign w:val="center"/>
          </w:tcPr>
          <w:p w14:paraId="573535AA">
            <w:pPr>
              <w:tabs>
                <w:tab w:val="left" w:pos="480"/>
              </w:tabs>
              <w:spacing w:line="360" w:lineRule="auto"/>
              <w:jc w:val="center"/>
              <w:rPr>
                <w:rFonts w:hint="eastAsia" w:ascii="仿宋" w:hAnsi="仿宋" w:eastAsia="仿宋" w:cs="仿宋"/>
                <w:color w:val="auto"/>
                <w:sz w:val="24"/>
                <w:highlight w:val="none"/>
              </w:rPr>
            </w:pPr>
          </w:p>
        </w:tc>
        <w:tc>
          <w:tcPr>
            <w:tcW w:w="1073" w:type="dxa"/>
            <w:vAlign w:val="center"/>
          </w:tcPr>
          <w:p w14:paraId="76C6EC64">
            <w:pPr>
              <w:tabs>
                <w:tab w:val="left" w:pos="480"/>
              </w:tabs>
              <w:spacing w:line="360" w:lineRule="auto"/>
              <w:jc w:val="center"/>
              <w:rPr>
                <w:rFonts w:hint="eastAsia" w:ascii="仿宋" w:hAnsi="仿宋" w:eastAsia="仿宋" w:cs="仿宋"/>
                <w:color w:val="auto"/>
                <w:sz w:val="24"/>
                <w:highlight w:val="none"/>
              </w:rPr>
            </w:pPr>
          </w:p>
        </w:tc>
        <w:tc>
          <w:tcPr>
            <w:tcW w:w="920" w:type="dxa"/>
            <w:vAlign w:val="center"/>
          </w:tcPr>
          <w:p w14:paraId="0323BE7B">
            <w:pPr>
              <w:tabs>
                <w:tab w:val="left" w:pos="480"/>
              </w:tabs>
              <w:spacing w:line="360" w:lineRule="auto"/>
              <w:jc w:val="center"/>
              <w:rPr>
                <w:rFonts w:hint="eastAsia" w:ascii="仿宋" w:hAnsi="仿宋" w:eastAsia="仿宋" w:cs="仿宋"/>
                <w:color w:val="auto"/>
                <w:sz w:val="24"/>
                <w:highlight w:val="none"/>
              </w:rPr>
            </w:pPr>
          </w:p>
        </w:tc>
        <w:tc>
          <w:tcPr>
            <w:tcW w:w="1154" w:type="dxa"/>
            <w:vAlign w:val="center"/>
          </w:tcPr>
          <w:p w14:paraId="24EB7AF5">
            <w:pPr>
              <w:tabs>
                <w:tab w:val="left" w:pos="480"/>
              </w:tabs>
              <w:spacing w:line="360" w:lineRule="auto"/>
              <w:jc w:val="center"/>
              <w:rPr>
                <w:rFonts w:hint="eastAsia" w:ascii="仿宋" w:hAnsi="仿宋" w:eastAsia="仿宋" w:cs="仿宋"/>
                <w:color w:val="auto"/>
                <w:sz w:val="24"/>
                <w:highlight w:val="none"/>
              </w:rPr>
            </w:pPr>
          </w:p>
        </w:tc>
        <w:tc>
          <w:tcPr>
            <w:tcW w:w="1096" w:type="dxa"/>
            <w:vAlign w:val="center"/>
          </w:tcPr>
          <w:p w14:paraId="38B1B5E5">
            <w:pPr>
              <w:tabs>
                <w:tab w:val="left" w:pos="480"/>
              </w:tabs>
              <w:spacing w:line="360" w:lineRule="auto"/>
              <w:jc w:val="center"/>
              <w:rPr>
                <w:rFonts w:hint="eastAsia" w:ascii="仿宋" w:hAnsi="仿宋" w:eastAsia="仿宋" w:cs="仿宋"/>
                <w:color w:val="auto"/>
                <w:sz w:val="24"/>
                <w:highlight w:val="none"/>
              </w:rPr>
            </w:pPr>
          </w:p>
        </w:tc>
        <w:tc>
          <w:tcPr>
            <w:tcW w:w="960" w:type="dxa"/>
          </w:tcPr>
          <w:p w14:paraId="60F3EB21">
            <w:pPr>
              <w:tabs>
                <w:tab w:val="left" w:pos="480"/>
              </w:tabs>
              <w:spacing w:line="360" w:lineRule="auto"/>
              <w:jc w:val="center"/>
              <w:rPr>
                <w:rFonts w:hint="eastAsia" w:ascii="仿宋" w:hAnsi="仿宋" w:eastAsia="仿宋" w:cs="仿宋"/>
                <w:color w:val="auto"/>
                <w:sz w:val="24"/>
                <w:highlight w:val="none"/>
              </w:rPr>
            </w:pPr>
          </w:p>
        </w:tc>
      </w:tr>
      <w:tr w14:paraId="1869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8" w:type="dxa"/>
            <w:vAlign w:val="center"/>
          </w:tcPr>
          <w:p w14:paraId="435995AC">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268" w:type="dxa"/>
            <w:vAlign w:val="center"/>
          </w:tcPr>
          <w:p w14:paraId="4A250E30">
            <w:pPr>
              <w:tabs>
                <w:tab w:val="left" w:pos="480"/>
              </w:tabs>
              <w:spacing w:line="360" w:lineRule="auto"/>
              <w:jc w:val="center"/>
              <w:rPr>
                <w:rFonts w:hint="eastAsia" w:ascii="仿宋" w:hAnsi="仿宋" w:eastAsia="仿宋" w:cs="仿宋"/>
                <w:color w:val="auto"/>
                <w:sz w:val="24"/>
                <w:highlight w:val="none"/>
              </w:rPr>
            </w:pPr>
          </w:p>
        </w:tc>
        <w:tc>
          <w:tcPr>
            <w:tcW w:w="1182" w:type="dxa"/>
          </w:tcPr>
          <w:p w14:paraId="19DCDB3B">
            <w:pPr>
              <w:tabs>
                <w:tab w:val="left" w:pos="480"/>
              </w:tabs>
              <w:spacing w:line="360" w:lineRule="auto"/>
              <w:jc w:val="center"/>
              <w:rPr>
                <w:rFonts w:hint="eastAsia" w:ascii="仿宋" w:hAnsi="仿宋" w:eastAsia="仿宋" w:cs="仿宋"/>
                <w:color w:val="auto"/>
                <w:sz w:val="24"/>
                <w:highlight w:val="none"/>
              </w:rPr>
            </w:pPr>
          </w:p>
        </w:tc>
        <w:tc>
          <w:tcPr>
            <w:tcW w:w="1226" w:type="dxa"/>
          </w:tcPr>
          <w:p w14:paraId="1269D065">
            <w:pPr>
              <w:tabs>
                <w:tab w:val="left" w:pos="480"/>
              </w:tabs>
              <w:spacing w:line="360" w:lineRule="auto"/>
              <w:jc w:val="center"/>
              <w:rPr>
                <w:rFonts w:hint="eastAsia" w:ascii="仿宋" w:hAnsi="仿宋" w:eastAsia="仿宋" w:cs="仿宋"/>
                <w:color w:val="auto"/>
                <w:sz w:val="24"/>
                <w:highlight w:val="none"/>
              </w:rPr>
            </w:pPr>
          </w:p>
        </w:tc>
        <w:tc>
          <w:tcPr>
            <w:tcW w:w="1073" w:type="dxa"/>
            <w:vAlign w:val="center"/>
          </w:tcPr>
          <w:p w14:paraId="5214CC5D">
            <w:pPr>
              <w:tabs>
                <w:tab w:val="left" w:pos="480"/>
              </w:tabs>
              <w:spacing w:line="360" w:lineRule="auto"/>
              <w:jc w:val="center"/>
              <w:rPr>
                <w:rFonts w:hint="eastAsia" w:ascii="仿宋" w:hAnsi="仿宋" w:eastAsia="仿宋" w:cs="仿宋"/>
                <w:color w:val="auto"/>
                <w:sz w:val="24"/>
                <w:highlight w:val="none"/>
              </w:rPr>
            </w:pPr>
          </w:p>
        </w:tc>
        <w:tc>
          <w:tcPr>
            <w:tcW w:w="920" w:type="dxa"/>
          </w:tcPr>
          <w:p w14:paraId="4677393B">
            <w:pPr>
              <w:tabs>
                <w:tab w:val="left" w:pos="480"/>
              </w:tabs>
              <w:spacing w:line="360" w:lineRule="auto"/>
              <w:jc w:val="center"/>
              <w:rPr>
                <w:rFonts w:hint="eastAsia" w:ascii="仿宋" w:hAnsi="仿宋" w:eastAsia="仿宋" w:cs="仿宋"/>
                <w:color w:val="auto"/>
                <w:sz w:val="24"/>
                <w:highlight w:val="none"/>
              </w:rPr>
            </w:pPr>
          </w:p>
        </w:tc>
        <w:tc>
          <w:tcPr>
            <w:tcW w:w="1154" w:type="dxa"/>
            <w:vAlign w:val="center"/>
          </w:tcPr>
          <w:p w14:paraId="6AD13E78">
            <w:pPr>
              <w:tabs>
                <w:tab w:val="left" w:pos="480"/>
              </w:tabs>
              <w:spacing w:line="360" w:lineRule="auto"/>
              <w:jc w:val="center"/>
              <w:rPr>
                <w:rFonts w:hint="eastAsia" w:ascii="仿宋" w:hAnsi="仿宋" w:eastAsia="仿宋" w:cs="仿宋"/>
                <w:color w:val="auto"/>
                <w:sz w:val="24"/>
                <w:highlight w:val="none"/>
              </w:rPr>
            </w:pPr>
          </w:p>
        </w:tc>
        <w:tc>
          <w:tcPr>
            <w:tcW w:w="1096" w:type="dxa"/>
          </w:tcPr>
          <w:p w14:paraId="4FFC524F">
            <w:pPr>
              <w:tabs>
                <w:tab w:val="left" w:pos="480"/>
              </w:tabs>
              <w:spacing w:line="360" w:lineRule="auto"/>
              <w:jc w:val="center"/>
              <w:rPr>
                <w:rFonts w:hint="eastAsia" w:ascii="仿宋" w:hAnsi="仿宋" w:eastAsia="仿宋" w:cs="仿宋"/>
                <w:color w:val="auto"/>
                <w:sz w:val="24"/>
                <w:highlight w:val="none"/>
              </w:rPr>
            </w:pPr>
          </w:p>
        </w:tc>
        <w:tc>
          <w:tcPr>
            <w:tcW w:w="960" w:type="dxa"/>
          </w:tcPr>
          <w:p w14:paraId="216A33FA">
            <w:pPr>
              <w:tabs>
                <w:tab w:val="left" w:pos="480"/>
              </w:tabs>
              <w:spacing w:line="360" w:lineRule="auto"/>
              <w:jc w:val="center"/>
              <w:rPr>
                <w:rFonts w:hint="eastAsia" w:ascii="仿宋" w:hAnsi="仿宋" w:eastAsia="仿宋" w:cs="仿宋"/>
                <w:color w:val="auto"/>
                <w:sz w:val="24"/>
                <w:highlight w:val="none"/>
              </w:rPr>
            </w:pPr>
          </w:p>
        </w:tc>
      </w:tr>
      <w:tr w14:paraId="1FA60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67" w:type="dxa"/>
            <w:gridSpan w:val="9"/>
            <w:vAlign w:val="center"/>
          </w:tcPr>
          <w:p w14:paraId="3C263C67">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合计人民币（大写）：</w:t>
            </w:r>
          </w:p>
          <w:p w14:paraId="00BDCC60">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合计：¥</w:t>
            </w:r>
          </w:p>
        </w:tc>
      </w:tr>
      <w:tr w14:paraId="670E0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vAlign w:val="center"/>
          </w:tcPr>
          <w:p w14:paraId="7F17DD98">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tc>
        <w:tc>
          <w:tcPr>
            <w:tcW w:w="8879" w:type="dxa"/>
            <w:gridSpan w:val="8"/>
            <w:vAlign w:val="center"/>
          </w:tcPr>
          <w:p w14:paraId="414D2D76">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含安装、调试、检验、培训及技术服务等</w:t>
            </w:r>
          </w:p>
        </w:tc>
      </w:tr>
    </w:tbl>
    <w:p w14:paraId="08560E1F">
      <w:pPr>
        <w:tabs>
          <w:tab w:val="left" w:pos="480"/>
        </w:tabs>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二、合同价款</w:t>
      </w:r>
    </w:p>
    <w:p w14:paraId="2D18F0AC">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（一）合同总价款为人民币（大写）                  （¥            元）。</w:t>
      </w:r>
    </w:p>
    <w:p w14:paraId="19D786A7">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合同总价包括：税费、货物费、运输费（含保险费）、装卸、安装调试费、检测验收、培训、技术服务及其它乙方履行合同义务所需的全部费用。本合同执行期间合同总价不变，甲方无需向乙方另行支付费用。</w:t>
      </w:r>
    </w:p>
    <w:p w14:paraId="39F0ACB1">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三、款项结算</w:t>
      </w:r>
    </w:p>
    <w:p w14:paraId="04B6A9F4">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（一）合同签订后七日内，乙方应向甲方支付合同总价款的</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p w14:paraId="754F18F9">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（二）本合同总价包含了设备采购款及甲方场地改造的装修款项，其中设备采购款【 】元。收到乙方支付的履约保证金及等额合规发票后，甲方向乙方支付【50 】%的设备采购款，乙方应严格按照合同约定的期限向甲方提供全部货物；所有货物到达甲方指定地点且经甲方确认无误后，甲方向乙方支付【40】%的设备采购款。</w:t>
      </w:r>
    </w:p>
    <w:p w14:paraId="228818E7">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（三）所有货物安装、调试，确认无误，经甲方第一次验收合格后，甲方支付合同剩余款项。</w:t>
      </w:r>
    </w:p>
    <w:p w14:paraId="13DEDC7D">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（四）第一次验收合格满壹年后，进行第二次验收，验收合格后，无息退还合同总价款</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%的履约保证金。</w:t>
      </w:r>
    </w:p>
    <w:p w14:paraId="473431DD">
      <w:pPr>
        <w:tabs>
          <w:tab w:val="left" w:pos="480"/>
        </w:tabs>
        <w:spacing w:line="360" w:lineRule="auto"/>
        <w:ind w:firstLine="480" w:firstLineChars="200"/>
        <w:jc w:val="lef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（五）货物第一次验收合格满叁年后，进行第三次验收，验收合格后，无息退还合同总价款2%的履约保证金</w:t>
      </w:r>
      <w:r>
        <w:rPr>
          <w:rFonts w:hint="eastAsia" w:ascii="仿宋" w:hAnsi="仿宋" w:eastAsia="仿宋" w:cs="仿宋"/>
          <w:color w:val="auto"/>
          <w:sz w:val="24"/>
          <w:highlight w:val="none"/>
          <w:lang w:eastAsia="zh-CN"/>
        </w:rPr>
        <w:t>。</w:t>
      </w:r>
    </w:p>
    <w:p w14:paraId="2BCD5B0C">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六）乙方应在甲方每次付款前向甲方提供等额合规发票，乙方延期提供发票或提供的发票不符合甲方要求的，甲方有权拒付合同款项且不承担任何法律责任。因乙方原因导致甲方不能及时付款的，甲方无需承担任何责任。</w:t>
      </w:r>
    </w:p>
    <w:p w14:paraId="375A8DB7">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七</w:t>
      </w:r>
      <w:r>
        <w:rPr>
          <w:rFonts w:hint="eastAsia" w:ascii="仿宋" w:hAnsi="仿宋" w:eastAsia="仿宋" w:cs="仿宋"/>
          <w:color w:val="auto"/>
          <w:sz w:val="24"/>
          <w:highlight w:val="none"/>
        </w:rPr>
        <w:t>）结算方式：乙方持验收合格单，全额合规发票（按合同总价值开甲方），中标通知书、供货合同，与甲方结算。</w:t>
      </w:r>
    </w:p>
    <w:p w14:paraId="697A90AB">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四、交货条件</w:t>
      </w:r>
    </w:p>
    <w:p w14:paraId="69D62CF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（一）交货地点：西安市中心医院指定地点。</w:t>
      </w:r>
    </w:p>
    <w:p w14:paraId="542D5CCD">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（二）交货期：</w:t>
      </w:r>
    </w:p>
    <w:p w14:paraId="6A20ABF0">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1、交货期：合同签订后30个日历日交货。</w:t>
      </w:r>
    </w:p>
    <w:p w14:paraId="49C0EA5B">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676B8098">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4AF7F8B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本项目为交钥匙工程，乙方需在指定地点医学科全过程建设，对设计、报批、施工、验收、取证、试运行负全责，取得《辐射安全许可证》《放射诊疗许可证》《放射性药品使用许可证》III类相关证件，医院只需提供场地即可立即开诊，范围包括但不限于：勘察设计（提供可行性报告、施工设计图）、环评/卫评、场地改造、装修、防护。（含衰变池建造和125碘核素治疗病房2间、甲亢治疗室、甲功室、心脏检查准备间）、设备供货调试、卫控验收、人员培训。未按约定完成前述事宜的，视为乙方未交付货物，应按第十条第（三）款之约定承担违约责任。</w:t>
      </w:r>
    </w:p>
    <w:p w14:paraId="2AEB1279">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五、运输</w:t>
      </w:r>
    </w:p>
    <w:p w14:paraId="56C3E229">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（一）运输由乙方负责，运杂费已包含在合同总价内，包括从货物供应地点至交货地点所含的运输费、装卸费、仓储费、保险费等。</w:t>
      </w:r>
    </w:p>
    <w:p w14:paraId="641D3B6B">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（二）运输方式由乙方自行选择，但必须保证按期交货。</w:t>
      </w:r>
    </w:p>
    <w:p w14:paraId="2706B5EA">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（三）货物验收合格前产生的一切毁损、灭失的风险及质量问题均由乙方承担。</w:t>
      </w:r>
    </w:p>
    <w:p w14:paraId="3815AA93">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六、质量保证</w:t>
      </w:r>
    </w:p>
    <w:p w14:paraId="09AFE49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乙方所供货物必须执行下列条款：</w:t>
      </w:r>
    </w:p>
    <w:p w14:paraId="0ACF7025">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（一）保证技术指标先进、质量性能可靠、进货渠道正常，配置合理，全面满足招标文件要求。</w:t>
      </w:r>
    </w:p>
    <w:p w14:paraId="11C530E9">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（二）符合国家有关规范要求，确保达到最佳运行状态，对于由于产品设计、工艺或材料的缺陷而产生的质量问题负责。</w:t>
      </w:r>
    </w:p>
    <w:p w14:paraId="0ABF34C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（三）具有良好的外观，适合安装场所的使用。</w:t>
      </w:r>
    </w:p>
    <w:p w14:paraId="0C785388">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（四）自安装、调试正常运行并验收合格之日起：</w:t>
      </w:r>
    </w:p>
    <w:p w14:paraId="2C39DEC4">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1、质保期：提供原厂整机免费质保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终身维护（提供原厂承诺函）。质保期内，同一主要部件出现质量问题经过两次维修后仍无法正常使用的，可以更换同型号、同规格的全新产品，乙方在2小时内提出解决问题的办法，如需到现场进行维修，乙方在4小时内安排生产厂家技术人员到设备现场进行维修；乙方提供保修期内每年不少于四次维护保养；乙方保证年开机率≥95％（一年按365天计算）；如有问题在24小时内修复（每超一天保修延长5天），对问题较大48小时内暂不能解决的，为不影响甲方正常工作，乙方在5日内免费提供同品牌、同配置或更高配置的替代产品（备品/备件），并确保正常运行；若乙方未按照上述约定期限内及时解决问题,造成甲方损失扩大的,乙方应就损失扩大部分承担赔偿责任。</w:t>
      </w:r>
    </w:p>
    <w:p w14:paraId="761F110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2、30天内，如出现质量问题，甲方可以选择换货或退货 </w:t>
      </w:r>
    </w:p>
    <w:p w14:paraId="7E8F8B5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3、7天内，如出现质量问题，甲方可选择换货。</w:t>
      </w:r>
      <w:bookmarkStart w:id="2" w:name="_GoBack"/>
      <w:bookmarkEnd w:id="2"/>
    </w:p>
    <w:p w14:paraId="71B8C0F8">
      <w:pPr>
        <w:numPr>
          <w:ilvl w:val="0"/>
          <w:numId w:val="1"/>
        </w:num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、保证设备后期可与甲方各类信息化网络系统免费无缝链接。乙方在设备安装调试完成后协助甲方完成设备之间信息化系统的连接和建立，承诺在甲方使用产品期间免费对该产品进行系统升级和维护。</w:t>
      </w:r>
    </w:p>
    <w:p w14:paraId="343CE447">
      <w:pPr>
        <w:numPr>
          <w:ilvl w:val="0"/>
          <w:numId w:val="1"/>
        </w:num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乙方投标文件承诺的服务内容与本合同内容不一致的，以更优于甲方的条款执行。</w:t>
      </w:r>
    </w:p>
    <w:p w14:paraId="4E06701C">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七、售后服务</w:t>
      </w:r>
    </w:p>
    <w:p w14:paraId="3F6413F0">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乙方为所供货物提供以下售后服务：</w:t>
      </w:r>
    </w:p>
    <w:p w14:paraId="714CF6B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（一）质保期内：</w:t>
      </w:r>
    </w:p>
    <w:p w14:paraId="4D49541F">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1、发生质量问题，接到甲方通知后，应于当日派出专业的维修人员到现场进行检测维修，发生的全部费用由乙方承担，若需送回生产厂，乙方承担往返费用；</w:t>
      </w:r>
    </w:p>
    <w:p w14:paraId="40087DCC">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2、每年四次派技术人员到现场走访，给予检查维护；</w:t>
      </w:r>
    </w:p>
    <w:p w14:paraId="6ED9023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3、排除故障的期限不超过48小时。否则甲方有权指定第三方维修，维修费用由乙方承担，甲方有权直接从未付合同款中扣除，未付合同款无法支付全部维修费用的，超出部分由乙方另行承担。</w:t>
      </w:r>
    </w:p>
    <w:p w14:paraId="082B6788">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（二）质保期结束前，进行系统测试，全面保养维护，确保正常运行。</w:t>
      </w:r>
    </w:p>
    <w:p w14:paraId="0B8EDD87">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（三）其他服务要求：</w:t>
      </w:r>
    </w:p>
    <w:p w14:paraId="7F81EC35">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.提供专家技术支持业务开展，周期为3年，频次1天/周。</w:t>
      </w:r>
    </w:p>
    <w:p w14:paraId="32C89890">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.按需求提供设备端口并负责将SPECT/CT设备连接到我院PACS系统。</w:t>
      </w:r>
    </w:p>
    <w:p w14:paraId="4A8A62B4">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ascii="仿宋" w:hAnsi="仿宋" w:eastAsia="仿宋" w:cs="仿宋"/>
          <w:color w:val="auto"/>
          <w:sz w:val="24"/>
          <w:highlight w:val="none"/>
        </w:rPr>
        <w:t>.按需求移机（通风橱、铅制用品等辅助设备）服务。</w:t>
      </w:r>
    </w:p>
    <w:p w14:paraId="46B2D26E">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r>
        <w:rPr>
          <w:rFonts w:ascii="仿宋" w:hAnsi="仿宋" w:eastAsia="仿宋" w:cs="仿宋"/>
          <w:color w:val="auto"/>
          <w:sz w:val="24"/>
          <w:highlight w:val="none"/>
        </w:rPr>
        <w:t>.活度计需出具鉴定书（2年1次/台，共3次/台）</w:t>
      </w:r>
      <w:r>
        <w:rPr>
          <w:rFonts w:hint="eastAsia" w:ascii="仿宋" w:hAnsi="仿宋" w:eastAsia="仿宋" w:cs="仿宋"/>
          <w:color w:val="auto"/>
          <w:sz w:val="24"/>
          <w:highlight w:val="none"/>
        </w:rPr>
        <w:t>。</w:t>
      </w:r>
    </w:p>
    <w:p w14:paraId="11AACBB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ascii="仿宋" w:hAnsi="仿宋" w:eastAsia="仿宋" w:cs="仿宋"/>
          <w:color w:val="auto"/>
          <w:sz w:val="24"/>
          <w:highlight w:val="none"/>
        </w:rPr>
        <w:t>.表面污染测定仪需出具鉴定书（1年一次/台，共5次/台）</w:t>
      </w:r>
      <w:r>
        <w:rPr>
          <w:rFonts w:hint="eastAsia" w:ascii="仿宋" w:hAnsi="仿宋" w:eastAsia="仿宋" w:cs="仿宋"/>
          <w:color w:val="auto"/>
          <w:sz w:val="24"/>
          <w:highlight w:val="none"/>
        </w:rPr>
        <w:t>。</w:t>
      </w:r>
    </w:p>
    <w:p w14:paraId="43BAB1F4">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ascii="仿宋" w:hAnsi="仿宋" w:eastAsia="仿宋" w:cs="仿宋"/>
          <w:color w:val="auto"/>
          <w:sz w:val="24"/>
          <w:highlight w:val="none"/>
        </w:rPr>
        <w:t>.X-γ便携式剂量率仪需出具鉴定书（1年一次/台，共5次/台）</w:t>
      </w:r>
      <w:r>
        <w:rPr>
          <w:rFonts w:hint="eastAsia" w:ascii="仿宋" w:hAnsi="仿宋" w:eastAsia="仿宋" w:cs="仿宋"/>
          <w:color w:val="auto"/>
          <w:sz w:val="24"/>
          <w:highlight w:val="none"/>
        </w:rPr>
        <w:t>。</w:t>
      </w:r>
    </w:p>
    <w:p w14:paraId="2163E8DF">
      <w:pPr>
        <w:tabs>
          <w:tab w:val="left" w:pos="480"/>
        </w:tabs>
        <w:spacing w:line="360" w:lineRule="auto"/>
        <w:ind w:firstLine="480" w:firstLineChars="200"/>
        <w:jc w:val="left"/>
        <w:rPr>
          <w:rFonts w:hint="eastAsia" w:ascii="仿宋" w:hAnsi="仿宋" w:eastAsia="仿宋" w:cs="仿宋"/>
          <w:color w:val="auto"/>
          <w:sz w:val="24"/>
          <w:highlight w:val="none"/>
        </w:rPr>
      </w:pPr>
      <w:r>
        <w:rPr>
          <w:rFonts w:ascii="仿宋" w:hAnsi="仿宋" w:eastAsia="仿宋" w:cs="仿宋"/>
          <w:color w:val="auto"/>
          <w:sz w:val="24"/>
          <w:highlight w:val="none"/>
        </w:rPr>
        <w:t>个人剂量报警仪需出具鉴定书（1年一次/个，共5次/个）</w:t>
      </w:r>
      <w:r>
        <w:rPr>
          <w:rFonts w:hint="eastAsia" w:ascii="仿宋" w:hAnsi="仿宋" w:eastAsia="仿宋" w:cs="仿宋"/>
          <w:color w:val="auto"/>
          <w:sz w:val="24"/>
          <w:highlight w:val="none"/>
        </w:rPr>
        <w:t>。</w:t>
      </w:r>
    </w:p>
    <w:p w14:paraId="73D6AC10">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八、技术与服务</w:t>
      </w:r>
    </w:p>
    <w:p w14:paraId="3056E5BE">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（一）技术资料：</w:t>
      </w:r>
    </w:p>
    <w:p w14:paraId="2FF30B3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1、货物合格证；</w:t>
      </w:r>
    </w:p>
    <w:p w14:paraId="4559EBF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2、货物使用说明书（中文）；</w:t>
      </w:r>
    </w:p>
    <w:p w14:paraId="486D94D5">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3、进口货物商检证明和报关单；</w:t>
      </w:r>
    </w:p>
    <w:p w14:paraId="708E39FD">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4、乙方提供相关部门出具的检验测试报告；</w:t>
      </w:r>
    </w:p>
    <w:p w14:paraId="1B42CC7C">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5、其它资料。</w:t>
      </w:r>
    </w:p>
    <w:p w14:paraId="7488BB8F">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乙方应在供货时一并提供前述技术资料，否则均视为交付不合格，甲方有权拒绝验收，由此造成的一切后果由乙方承担。</w:t>
      </w:r>
    </w:p>
    <w:p w14:paraId="1062499B">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（二）培训：乙方须在设备安装调试完成后对甲方操作人员进行完整使用、保养等培训，确保受训人员可熟练、独立使用设备，是否完成培训视为货物验收必备条件之一；</w:t>
      </w:r>
    </w:p>
    <w:p w14:paraId="76DF329C">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（三）服务承诺：以投标文件、澄清表（函）、合同和随货物的相关文件为准。</w:t>
      </w:r>
    </w:p>
    <w:p w14:paraId="023E52F7">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九、验收</w:t>
      </w:r>
    </w:p>
    <w:p w14:paraId="6F8EBC8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（一）货物到达甲方指定地点后，甲方根据合同要求，进行外观验收，确认产地、规格、型号和数量。甲乙双方需在约定的时间和地点共同开箱检验。</w:t>
      </w:r>
    </w:p>
    <w:p w14:paraId="53B71E87">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（二）货物安装、调试并正常运行后，由乙方进行自检，合格后能够正常使用时书面通知甲方。</w:t>
      </w:r>
    </w:p>
    <w:p w14:paraId="6A37F8A8">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（三）甲方确认接收乙方的自检内容后，进行验收（必要时请有关专家，由乙方承担聘请专家的费用），验收合格后，由乙方对甲方操作人员进行培训，完成培训后，甲方填写验收单作为对货物的最终认可。</w:t>
      </w:r>
    </w:p>
    <w:p w14:paraId="0DAD9535">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（四）乙方向甲方提交货物实施过程中的所有资料。以便甲方日后管理和维护。</w:t>
      </w:r>
    </w:p>
    <w:p w14:paraId="4EE7387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（五）货物验收时必须提供海关证明，验收15日内完成商检手续办理。</w:t>
      </w:r>
    </w:p>
    <w:p w14:paraId="57CD9932">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（六）设备验收时需提供附带市级法定机构出具的计量检定/校准证书。</w:t>
      </w:r>
    </w:p>
    <w:p w14:paraId="2F51DB20">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（七）验收依据：</w:t>
      </w:r>
    </w:p>
    <w:p w14:paraId="4E11D4B5">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1、本合同及合同附件。</w:t>
      </w:r>
    </w:p>
    <w:p w14:paraId="44C316A9">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2、国家相应的标准、规范。</w:t>
      </w:r>
    </w:p>
    <w:p w14:paraId="331D9583">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3、招标文件、投标文件、中标通知书、澄清表（函）。</w:t>
      </w:r>
    </w:p>
    <w:p w14:paraId="320E3EDD">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十、违约责任</w:t>
      </w:r>
    </w:p>
    <w:p w14:paraId="1B0CC270">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（一）按《政府采购法》、《民法典》中的相关条款执行。</w:t>
      </w:r>
    </w:p>
    <w:p w14:paraId="2FD86EC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14:paraId="6198102A">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35EDE44E">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2、乙方支付甲方违约金，违约金计算方法：以合同总价为基数，支付甲方合同总价的30%为违约金，违约金不足以赔偿甲方损失的，由乙方另行承担。</w:t>
      </w:r>
    </w:p>
    <w:p w14:paraId="6633025D">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同时，甲方有权对乙方的违约行为报监管机构进行相应的处罚。</w:t>
      </w:r>
    </w:p>
    <w:p w14:paraId="3823144F">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（三）乙方逾期交货的，交货期每超过一天，乙方应按照合同总价款的【1】%向甲方支付违约金；迟延交货超过【7】天的，视为乙方根本违约，甲方有权依据本条第（二）款之约定单方解除本合同。</w:t>
      </w:r>
    </w:p>
    <w:p w14:paraId="33AA61C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（四）乙方违约时，甲方为主张权利而支出的律师费、保全费、保全保险费、差旅费等费用由乙方承担。</w:t>
      </w:r>
    </w:p>
    <w:p w14:paraId="219F55AB">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6ED2AAAE">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十一、合同争议解决的方式</w:t>
      </w:r>
    </w:p>
    <w:p w14:paraId="29D34503">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本合同在履行过程中发生的争议，由甲、乙双方当事人协商解决，协商不成的依法向甲方所在地人民法院起诉。</w:t>
      </w:r>
    </w:p>
    <w:p w14:paraId="6ED10CFC">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十二、合同生效</w:t>
      </w:r>
    </w:p>
    <w:p w14:paraId="6BDC725A">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本合同一式</w:t>
      </w:r>
      <w:r>
        <w:rPr>
          <w:rFonts w:hint="eastAsia" w:ascii="仿宋" w:hAnsi="仿宋" w:eastAsia="仿宋" w:cs="仿宋"/>
          <w:color w:val="auto"/>
          <w:sz w:val="24"/>
          <w:highlight w:val="none"/>
          <w:u w:val="single"/>
        </w:rPr>
        <w:t>拾</w:t>
      </w:r>
      <w:r>
        <w:rPr>
          <w:rFonts w:hint="eastAsia" w:ascii="仿宋" w:hAnsi="仿宋" w:eastAsia="仿宋" w:cs="仿宋"/>
          <w:color w:val="auto"/>
          <w:sz w:val="24"/>
          <w:highlight w:val="none"/>
        </w:rPr>
        <w:t>份，甲方</w:t>
      </w:r>
      <w:r>
        <w:rPr>
          <w:rFonts w:hint="eastAsia" w:ascii="仿宋" w:hAnsi="仿宋" w:eastAsia="仿宋" w:cs="仿宋"/>
          <w:color w:val="auto"/>
          <w:sz w:val="24"/>
          <w:highlight w:val="none"/>
          <w:u w:val="single"/>
          <w:lang w:eastAsia="zh-Hans"/>
        </w:rPr>
        <w:t>玖</w:t>
      </w:r>
      <w:r>
        <w:rPr>
          <w:rFonts w:hint="eastAsia" w:ascii="仿宋" w:hAnsi="仿宋" w:eastAsia="仿宋" w:cs="仿宋"/>
          <w:color w:val="auto"/>
          <w:sz w:val="24"/>
          <w:highlight w:val="none"/>
        </w:rPr>
        <w:t>份，乙方执</w:t>
      </w:r>
      <w:r>
        <w:rPr>
          <w:rFonts w:hint="eastAsia" w:ascii="仿宋" w:hAnsi="仿宋" w:eastAsia="仿宋" w:cs="仿宋"/>
          <w:color w:val="auto"/>
          <w:sz w:val="24"/>
          <w:highlight w:val="none"/>
          <w:u w:val="single"/>
          <w:lang w:eastAsia="zh-Hans"/>
        </w:rPr>
        <w:t>壹</w:t>
      </w:r>
      <w:r>
        <w:rPr>
          <w:rFonts w:hint="eastAsia" w:ascii="仿宋" w:hAnsi="仿宋" w:eastAsia="仿宋" w:cs="仿宋"/>
          <w:color w:val="auto"/>
          <w:sz w:val="24"/>
          <w:highlight w:val="none"/>
        </w:rPr>
        <w:t>份，本合同经甲方、乙方双方签字盖章后生效，质保期结束后，自动终止（合同的服务承诺除外）。</w:t>
      </w:r>
    </w:p>
    <w:p w14:paraId="04153507">
      <w:pPr>
        <w:tabs>
          <w:tab w:val="left" w:pos="480"/>
        </w:tabs>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十三、其他事项</w:t>
      </w:r>
    </w:p>
    <w:p w14:paraId="6E70F38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（一）西安市财政局政府采购管理处在合同的履行期间以及履行期后，可以随时检查项目的执行情况，对采购内容、标准进行调查核实，并对发现的问题进行处理。</w:t>
      </w:r>
    </w:p>
    <w:p w14:paraId="0A110B90">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（二）招标文件、投标文件、澄清表（函）、中标通知书、合同附件均成为合同不可分割的部分。</w:t>
      </w:r>
    </w:p>
    <w:p w14:paraId="0DD4EB5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（三）合同未尽事宜，由甲、乙双方协商，签订补充协议，与原合同具有同等法律效力。</w:t>
      </w:r>
    </w:p>
    <w:p w14:paraId="499994A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（四）合同一经签订，不得擅自变更、中止或终止合同。对确需变更、调整或中止、终止合同的，有法律规定的按照法律规定，除合同约定外，由甲乙双方再行协商，协商一致前，原合同或条款继续履行。</w:t>
      </w:r>
    </w:p>
    <w:p w14:paraId="2A463CBF">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（五）本合同按照中华人民共和国的现行法律进行解释。</w:t>
      </w:r>
    </w:p>
    <w:p w14:paraId="04642B4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（六）本合同附件作为本合同的组成部份，与本合同具有同等法律效力。</w:t>
      </w:r>
    </w:p>
    <w:p w14:paraId="1DE2680D">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（七）供应商规模：                      （大型企业/中型企业/小微型企业）</w:t>
      </w:r>
    </w:p>
    <w:p w14:paraId="56A2C21A">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（八） 甲方联系人：               ；联系电话：                      </w:t>
      </w:r>
    </w:p>
    <w:p w14:paraId="46315B2D">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乙方联系人：               ；联系电话：                      </w:t>
      </w:r>
    </w:p>
    <w:p w14:paraId="11241DF8">
      <w:pPr>
        <w:tabs>
          <w:tab w:val="left" w:pos="480"/>
        </w:tabs>
        <w:spacing w:line="360" w:lineRule="auto"/>
        <w:rPr>
          <w:rFonts w:hint="eastAsia" w:ascii="仿宋" w:hAnsi="仿宋" w:eastAsia="仿宋" w:cs="仿宋"/>
          <w:color w:val="auto"/>
          <w:sz w:val="24"/>
          <w:highlight w:val="none"/>
        </w:rPr>
      </w:pPr>
    </w:p>
    <w:p w14:paraId="6777F738">
      <w:pPr>
        <w:tabs>
          <w:tab w:val="left" w:pos="480"/>
        </w:tabs>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52BA2CAC">
      <w:pPr>
        <w:tabs>
          <w:tab w:val="left" w:pos="480"/>
        </w:tabs>
        <w:spacing w:line="360" w:lineRule="auto"/>
        <w:rPr>
          <w:rFonts w:hint="eastAsia" w:ascii="仿宋" w:hAnsi="仿宋" w:eastAsia="仿宋" w:cs="仿宋"/>
          <w:color w:val="auto"/>
          <w:sz w:val="24"/>
          <w:highlight w:val="none"/>
        </w:rPr>
      </w:pPr>
    </w:p>
    <w:p w14:paraId="4319694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甲方（公章）                                 乙方（公章）</w:t>
      </w:r>
    </w:p>
    <w:p w14:paraId="0C504F4A">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单位名称：西安市中心医院                     单位名称:</w:t>
      </w:r>
    </w:p>
    <w:p w14:paraId="4900376C">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地址：西安市西五路161号                     地址： </w:t>
      </w:r>
    </w:p>
    <w:p w14:paraId="520A6164">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41A19C9">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                         法定代表人：（签字）</w:t>
      </w:r>
    </w:p>
    <w:p w14:paraId="60C5CDE0">
      <w:pPr>
        <w:tabs>
          <w:tab w:val="left" w:pos="480"/>
        </w:tabs>
        <w:spacing w:line="360" w:lineRule="auto"/>
        <w:ind w:firstLine="480" w:firstLineChars="200"/>
        <w:jc w:val="left"/>
        <w:rPr>
          <w:rFonts w:hint="eastAsia" w:ascii="仿宋" w:hAnsi="仿宋" w:eastAsia="仿宋" w:cs="仿宋"/>
          <w:color w:val="auto"/>
          <w:sz w:val="24"/>
          <w:highlight w:val="none"/>
        </w:rPr>
      </w:pPr>
    </w:p>
    <w:p w14:paraId="6250BA42">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代理人：（签字）                             代理人：（签字）</w:t>
      </w:r>
    </w:p>
    <w:p w14:paraId="1E1B3F64">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0AAE49F6">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帐号：</w:t>
      </w:r>
    </w:p>
    <w:p w14:paraId="593E3A91">
      <w:pPr>
        <w:tabs>
          <w:tab w:val="left" w:pos="4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   年    月    日                 签订日期：  年  月 日</w:t>
      </w:r>
    </w:p>
    <w:p w14:paraId="20626347">
      <w:pPr>
        <w:tabs>
          <w:tab w:val="left" w:pos="480"/>
        </w:tabs>
        <w:spacing w:line="360" w:lineRule="auto"/>
        <w:rPr>
          <w:rFonts w:hint="eastAsia" w:ascii="仿宋" w:hAnsi="仿宋" w:eastAsia="仿宋" w:cs="仿宋"/>
          <w:color w:val="auto"/>
          <w:sz w:val="24"/>
          <w:highlight w:val="none"/>
        </w:rPr>
      </w:pPr>
    </w:p>
    <w:p w14:paraId="2D0FC82C">
      <w:pPr>
        <w:tabs>
          <w:tab w:val="left" w:pos="480"/>
        </w:tabs>
        <w:spacing w:line="360" w:lineRule="auto"/>
        <w:rPr>
          <w:rFonts w:hint="eastAsia" w:ascii="仿宋" w:hAnsi="仿宋" w:eastAsia="仿宋" w:cs="仿宋"/>
          <w:color w:val="auto"/>
          <w:sz w:val="24"/>
          <w:highlight w:val="none"/>
        </w:rPr>
      </w:pPr>
    </w:p>
    <w:p w14:paraId="72F039B3">
      <w:pPr>
        <w:tabs>
          <w:tab w:val="left" w:pos="480"/>
        </w:tabs>
        <w:spacing w:line="360" w:lineRule="auto"/>
        <w:rPr>
          <w:rFonts w:hint="eastAsia" w:ascii="仿宋" w:hAnsi="仿宋" w:eastAsia="仿宋" w:cs="仿宋"/>
          <w:color w:val="auto"/>
          <w:sz w:val="24"/>
          <w:highlight w:val="none"/>
        </w:rPr>
      </w:pPr>
    </w:p>
    <w:p w14:paraId="30DCFBED">
      <w:pPr>
        <w:tabs>
          <w:tab w:val="left" w:pos="480"/>
        </w:tabs>
        <w:spacing w:line="360" w:lineRule="auto"/>
        <w:rPr>
          <w:rFonts w:hint="eastAsia" w:ascii="仿宋" w:hAnsi="仿宋" w:eastAsia="仿宋" w:cs="仿宋"/>
          <w:color w:val="auto"/>
          <w:sz w:val="24"/>
          <w:highlight w:val="none"/>
        </w:rPr>
      </w:pPr>
    </w:p>
    <w:p w14:paraId="709173A1">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附件一：配置清单</w:t>
      </w:r>
    </w:p>
    <w:p w14:paraId="53C3522B">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附件二：设备参数</w:t>
      </w:r>
    </w:p>
    <w:p w14:paraId="2E0237EA">
      <w:pPr>
        <w:pStyle w:val="6"/>
        <w:spacing w:line="360" w:lineRule="auto"/>
        <w:rPr>
          <w:rFonts w:hint="eastAsia" w:ascii="仿宋" w:hAnsi="仿宋" w:eastAsia="仿宋" w:cs="仿宋"/>
          <w:color w:val="auto"/>
          <w:sz w:val="24"/>
          <w:szCs w:val="24"/>
          <w:highlight w:val="none"/>
        </w:rPr>
      </w:pPr>
    </w:p>
    <w:p w14:paraId="46FE7A24">
      <w:pPr>
        <w:autoSpaceDE w:val="0"/>
        <w:autoSpaceDN w:val="0"/>
        <w:adjustRightInd w:val="0"/>
        <w:spacing w:line="360" w:lineRule="auto"/>
        <w:jc w:val="left"/>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rPr>
        <w:t>备注：</w:t>
      </w:r>
      <w:r>
        <w:rPr>
          <w:rFonts w:hint="eastAsia" w:ascii="仿宋" w:hAnsi="仿宋" w:eastAsia="仿宋" w:cs="仿宋"/>
          <w:b/>
          <w:bCs/>
          <w:color w:val="auto"/>
          <w:sz w:val="24"/>
          <w:highlight w:val="none"/>
          <w:lang w:val="zh-CN"/>
        </w:rPr>
        <w:t>供货合同与技术参数不一致的以招标文件正本技术参数为准。</w:t>
      </w:r>
    </w:p>
    <w:p w14:paraId="0A17CEF8">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7A"/>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52E4D"/>
    <w:multiLevelType w:val="singleLevel"/>
    <w:tmpl w:val="FFB52E4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34960BD"/>
    <w:rsid w:val="1CF71C0F"/>
    <w:rsid w:val="1F0834AD"/>
    <w:rsid w:val="1FC814F4"/>
    <w:rsid w:val="2659588C"/>
    <w:rsid w:val="31C3610C"/>
    <w:rsid w:val="331F2B2B"/>
    <w:rsid w:val="33437610"/>
    <w:rsid w:val="3DA71B32"/>
    <w:rsid w:val="41037F0F"/>
    <w:rsid w:val="417D58F0"/>
    <w:rsid w:val="44AD06F3"/>
    <w:rsid w:val="5E725CA3"/>
    <w:rsid w:val="5EA63987"/>
    <w:rsid w:val="61EF6DE3"/>
    <w:rsid w:val="7E717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List 2"/>
    <w:basedOn w:val="1"/>
    <w:qFormat/>
    <w:uiPriority w:val="0"/>
    <w:pPr>
      <w:ind w:left="100" w:leftChars="200" w:hanging="200" w:hangingChars="200"/>
      <w:contextualSpacing/>
    </w:pPr>
  </w:style>
  <w:style w:type="paragraph" w:styleId="6">
    <w:name w:val="footer"/>
    <w:basedOn w:val="1"/>
    <w:qFormat/>
    <w:uiPriority w:val="0"/>
    <w:pPr>
      <w:tabs>
        <w:tab w:val="center" w:pos="4153"/>
        <w:tab w:val="right" w:pos="8306"/>
      </w:tabs>
      <w:autoSpaceDE w:val="0"/>
      <w:autoSpaceDN w:val="0"/>
      <w:adjustRightInd w:val="0"/>
      <w:snapToGrid w:val="0"/>
      <w:jc w:val="left"/>
    </w:pPr>
    <w:rPr>
      <w:rFonts w:ascii="宋体" w:hAnsi="Times New Roman" w:eastAsia="宋体" w:cs="Times New Roman"/>
      <w:kern w:val="0"/>
      <w:sz w:val="18"/>
      <w:szCs w:val="20"/>
    </w:rPr>
  </w:style>
  <w:style w:type="paragraph" w:styleId="7">
    <w:name w:val="Title"/>
    <w:basedOn w:val="5"/>
    <w:next w:val="1"/>
    <w:qFormat/>
    <w:uiPriority w:val="0"/>
    <w:pPr>
      <w:spacing w:before="240" w:after="60"/>
      <w:jc w:val="center"/>
      <w:outlineLvl w:val="0"/>
    </w:pPr>
    <w:rPr>
      <w:rFonts w:ascii="Cambria" w:hAnsi="Cambria"/>
      <w:b/>
      <w:bCs/>
      <w:sz w:val="32"/>
      <w:szCs w:val="32"/>
    </w:rPr>
  </w:style>
  <w:style w:type="character" w:customStyle="1" w:styleId="10">
    <w:name w:val="标题 1 字符"/>
    <w:link w:val="2"/>
    <w:qFormat/>
    <w:uiPriority w:val="0"/>
    <w:rPr>
      <w:rFonts w:ascii="宋体" w:hAnsi="Times New Roman"/>
      <w:kern w:val="4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4581</Words>
  <Characters>4624</Characters>
  <Lines>0</Lines>
  <Paragraphs>0</Paragraphs>
  <TotalTime>5</TotalTime>
  <ScaleCrop>false</ScaleCrop>
  <LinksUpToDate>false</LinksUpToDate>
  <CharactersWithSpaces>5031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2025-12-24T06:29:49Z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623A60DD30404033A49732512D142669_12</vt:lpwstr>
  </property>
  <property fmtid="{D5CDD505-2E9C-101B-9397-08002B2CF9AE}" pid="4" name="KSOTemplateDocerSaveRecord">
    <vt:lpwstr>eyJoZGlkIjoiN2M0NTdjYmM1YjY4OGU5YTNhODc4MDEyNDYzOWU1MWQiLCJ1c2VySWQiOiIzNzA0MjM3MzgifQ==</vt:lpwstr>
  </property>
</Properties>
</file>