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版本号：CT-ZB00-312-202520251204001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西安市智慧教育大平台密码应用安全性评估服务项目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CT-ZB00-312-2025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西安市智慧教育大平台密码应用安全性评估服务项目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CT-ZB00-312-2025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西安市智慧教育大平台密码应用安全性评估服务项目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西安市智慧教育大平台密码应用安全性评估服务项目是依据GB/T 39786等国家商用密码应用安全测评标准体系的要求，对西安市智慧教育大平台开展商用密码应用安全性评估(简称“密评”)，密评级别为三级，并出具《商用密码应用安全性评估报告》。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采购包1（西安市智慧教育大平台密码应用安全性评估服务项目）：属于专门面向中小企业采购。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pPr>
      <w:r>
        <w:rPr>
          <w:rFonts w:ascii="仿宋_GB2312" w:hAnsi="仿宋_GB2312" w:cs="仿宋_GB2312" w:eastAsia="仿宋_GB2312"/>
        </w:rPr>
        <w:t>4、企业资质1：供应商须在国家密码管理局发布的《商用密码检测机构（商用密码应用安全性评估业务）目录》内或有效期内的资质证书，提供加盖公章的网站公告页面及目录复印件或资质证书复印件。</w:t>
      </w:r>
    </w:p>
    <w:p>
      <w:pPr>
        <w:pStyle w:val="null3"/>
      </w:pPr>
      <w:r>
        <w:rPr>
          <w:rFonts w:ascii="仿宋_GB2312" w:hAnsi="仿宋_GB2312" w:cs="仿宋_GB2312" w:eastAsia="仿宋_GB2312"/>
        </w:rPr>
        <w:t>5、企业资质2：供应商须提供过去三年内无违反《商用密码管理条例》第16条、51条，《商用密码应用安全性评估管理办法》第11条，《商用密码检测机构管理办法》第21条规定的情形的证明材料，提供声明函或者省、市密码管理部门查询结果网页截图加盖公章。</w:t>
      </w:r>
    </w:p>
    <w:p>
      <w:pPr>
        <w:pStyle w:val="null3"/>
      </w:pPr>
      <w:r>
        <w:rPr>
          <w:rFonts w:ascii="仿宋_GB2312" w:hAnsi="仿宋_GB2312" w:cs="仿宋_GB2312" w:eastAsia="仿宋_GB2312"/>
        </w:rPr>
        <w:t>6、是否接受联合体：本项目不接受联合体磋商，提供非联合磋商声明函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029-86682106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计取（以成交金额结算）。 代理服务费缴纳账号： 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（1）符合国家、省、市及行业相关标准。 （2）符合采购文件中的相应技术要求。 （3）符合项目实施过程中，双方约定的标准和要求。 （4）验收标准包括但不限于：对各系统的各功能模块及性能指标做专业性的技术检验，并按照国产密码评估的要求开展工作，对各系统进行国产密码评估，满足上线要求，项目交付物齐全，提供被评估系统的商用密码应用安全性评估报告，并协助委托方取得系统的备案回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智慧教育大平台密码应用安全性评估服务项目是依据GB/T39786等国家商用密码应用安全测评标准体系的要求，对西安市智慧教育大平台开展商用密码应用安全性评估(简称“密评”)，密评级别为三级，并出具《商用密码应用安全性评估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1,440,000.00</w:t>
      </w:r>
    </w:p>
    <w:p>
      <w:pPr>
        <w:pStyle w:val="null3"/>
      </w:pPr>
      <w:r>
        <w:rPr>
          <w:rFonts w:ascii="仿宋_GB2312" w:hAnsi="仿宋_GB2312" w:cs="仿宋_GB2312" w:eastAsia="仿宋_GB2312"/>
        </w:rPr>
        <w:t>采购包最高限价（元）: 1,440,000.00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西安市智慧教育大平台密码应用安全性评估服务项目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标的名称：西安市智慧教育大平台密码应用安全性评估服务项目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1.项目总体目标：</w:t>
            </w:r>
          </w:p>
          <w:p>
            <w:pPr>
              <w:pStyle w:val="null3"/>
            </w:pPr>
            <w:r>
              <w:rPr>
                <w:rFonts w:ascii="仿宋_GB2312" w:hAnsi="仿宋_GB2312" w:cs="仿宋_GB2312" w:eastAsia="仿宋_GB2312"/>
              </w:rPr>
              <w:t>依照相关政策文件，对采购人14个应用系统提供密码应用安全性评估服务，按照国家规范要求，制定测评方案，实施测评，提出整改意见，跟踪整改进度，为服务项目验收提供依据。</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系统名称</w:t>
                  </w:r>
                </w:p>
              </w:tc>
              <w:tc>
                <w:tcPr>
                  <w:tcW w:type="dxa" w:w="638"/>
                </w:tcPr>
                <w:p>
                  <w:pPr>
                    <w:pStyle w:val="null3"/>
                  </w:pPr>
                  <w:r>
                    <w:rPr>
                      <w:rFonts w:ascii="仿宋_GB2312" w:hAnsi="仿宋_GB2312" w:cs="仿宋_GB2312" w:eastAsia="仿宋_GB2312"/>
                    </w:rPr>
                    <w:t>服务数量</w:t>
                  </w:r>
                </w:p>
              </w:tc>
              <w:tc>
                <w:tcPr>
                  <w:tcW w:type="dxa" w:w="638"/>
                </w:tcPr>
                <w:p>
                  <w:pPr>
                    <w:pStyle w:val="null3"/>
                  </w:pPr>
                  <w:r>
                    <w:rPr>
                      <w:rFonts w:ascii="仿宋_GB2312" w:hAnsi="仿宋_GB2312" w:cs="仿宋_GB2312" w:eastAsia="仿宋_GB2312"/>
                    </w:rPr>
                    <w:t>服务等级</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数字化教学服务系统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学生健康管理系统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学前教育管理信息系统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校园综合管理系统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教师全息画像系统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师生信息素养提升实践活动系统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数字教育大脑应用系统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组织中心</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应用中心</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数据中心</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“i西安”教育版web门户</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“i西安”便民服务端教育专区小程序</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西安市教育电子地图系统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教育统计基础数据库系统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第三级</w:t>
                  </w:r>
                </w:p>
              </w:tc>
            </w:tr>
          </w:tbl>
          <w:p>
            <w:pPr>
              <w:pStyle w:val="null3"/>
            </w:pPr>
            <w:r>
              <w:rPr>
                <w:rFonts w:ascii="仿宋_GB2312" w:hAnsi="仿宋_GB2312" w:cs="仿宋_GB2312" w:eastAsia="仿宋_GB2312"/>
              </w:rPr>
              <w:t>2.服务范围</w:t>
            </w:r>
          </w:p>
          <w:p>
            <w:pPr>
              <w:pStyle w:val="null3"/>
            </w:pPr>
            <w:r>
              <w:rPr>
                <w:rFonts w:ascii="仿宋_GB2312" w:hAnsi="仿宋_GB2312" w:cs="仿宋_GB2312" w:eastAsia="仿宋_GB2312"/>
              </w:rPr>
              <w:t>本项目密码测评服务主要针对采购人14个应用系统开展商用密码应用安全评估。</w:t>
            </w:r>
          </w:p>
          <w:p>
            <w:pPr>
              <w:pStyle w:val="null3"/>
            </w:pPr>
            <w:r>
              <w:rPr>
                <w:rFonts w:ascii="仿宋_GB2312" w:hAnsi="仿宋_GB2312" w:cs="仿宋_GB2312" w:eastAsia="仿宋_GB2312"/>
              </w:rPr>
              <w:t>3.服务内容</w:t>
            </w:r>
          </w:p>
          <w:p>
            <w:pPr>
              <w:pStyle w:val="null3"/>
            </w:pPr>
            <w:r>
              <w:rPr>
                <w:rFonts w:ascii="仿宋_GB2312" w:hAnsi="仿宋_GB2312" w:cs="仿宋_GB2312" w:eastAsia="仿宋_GB2312"/>
              </w:rPr>
              <w:t>依据GB/T39786-2021《信息安全技术信息系统密码应用基本要求》、GB/T43206-2023《信息安全技术信息系统密码应用测评要求》等密评标准和通过评估的密码应用方案对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具体内容包括：</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服务内容</w:t>
                  </w:r>
                </w:p>
              </w:tc>
              <w:tc>
                <w:tcPr>
                  <w:tcW w:type="dxa" w:w="638"/>
                </w:tcPr>
                <w:p>
                  <w:pPr>
                    <w:pStyle w:val="null3"/>
                  </w:pPr>
                  <w:r>
                    <w:rPr>
                      <w:rFonts w:ascii="仿宋_GB2312" w:hAnsi="仿宋_GB2312" w:cs="仿宋_GB2312" w:eastAsia="仿宋_GB2312"/>
                    </w:rPr>
                    <w:t>服务内容子项</w:t>
                  </w:r>
                </w:p>
              </w:tc>
              <w:tc>
                <w:tcPr>
                  <w:tcW w:type="dxa" w:w="638"/>
                </w:tcPr>
                <w:p>
                  <w:pPr>
                    <w:pStyle w:val="null3"/>
                  </w:pPr>
                  <w:r>
                    <w:rPr>
                      <w:rFonts w:ascii="仿宋_GB2312" w:hAnsi="仿宋_GB2312" w:cs="仿宋_GB2312" w:eastAsia="仿宋_GB2312"/>
                    </w:rPr>
                    <w:t>工作内容</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需求沟通确认</w:t>
                  </w:r>
                </w:p>
              </w:tc>
              <w:tc>
                <w:tcPr>
                  <w:tcW w:type="dxa" w:w="638"/>
                </w:tcPr>
                <w:p>
                  <w:pPr>
                    <w:pStyle w:val="null3"/>
                  </w:pPr>
                  <w:r>
                    <w:rPr>
                      <w:rFonts w:ascii="仿宋_GB2312" w:hAnsi="仿宋_GB2312" w:cs="仿宋_GB2312" w:eastAsia="仿宋_GB2312"/>
                    </w:rPr>
                    <w:t>需求沟通调研和确认工作实施要求</w:t>
                  </w:r>
                </w:p>
              </w:tc>
              <w:tc>
                <w:tcPr>
                  <w:tcW w:type="dxa" w:w="638"/>
                </w:tcPr>
                <w:p>
                  <w:pPr>
                    <w:pStyle w:val="null3"/>
                  </w:pPr>
                  <w:r>
                    <w:rPr>
                      <w:rFonts w:ascii="仿宋_GB2312" w:hAnsi="仿宋_GB2312" w:cs="仿宋_GB2312" w:eastAsia="仿宋_GB2312"/>
                    </w:rPr>
                    <w:t>对安全评估的组织实施流程、风险管控效果、时间节点、交付成果、评估方式等基础信息进行沟通核实，确认服务需求和工作要求</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基础材料搜集整理和现场沟通采集</w:t>
                  </w:r>
                </w:p>
              </w:tc>
              <w:tc>
                <w:tcPr>
                  <w:tcW w:type="dxa" w:w="638"/>
                </w:tcPr>
                <w:p>
                  <w:pPr>
                    <w:pStyle w:val="null3"/>
                  </w:pPr>
                  <w:r>
                    <w:rPr>
                      <w:rFonts w:ascii="仿宋_GB2312" w:hAnsi="仿宋_GB2312" w:cs="仿宋_GB2312" w:eastAsia="仿宋_GB2312"/>
                    </w:rPr>
                    <w:t>按照评估准备实施要求，搜集整理必要素材</w:t>
                  </w:r>
                </w:p>
              </w:tc>
              <w:tc>
                <w:tcPr>
                  <w:tcW w:type="dxa" w:w="638"/>
                </w:tcPr>
                <w:p>
                  <w:pPr>
                    <w:pStyle w:val="null3"/>
                  </w:pPr>
                  <w:r>
                    <w:rPr>
                      <w:rFonts w:ascii="仿宋_GB2312" w:hAnsi="仿宋_GB2312" w:cs="仿宋_GB2312" w:eastAsia="仿宋_GB2312"/>
                    </w:rPr>
                    <w:t>通过远程或现场会议方式与业务研发、运维部门技术团队和保障团队沟通评估所需基础素材、文档等必要信息</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密码应用方案评估</w:t>
                  </w:r>
                </w:p>
              </w:tc>
              <w:tc>
                <w:tcPr>
                  <w:tcW w:type="dxa" w:w="638"/>
                </w:tcPr>
                <w:p>
                  <w:pPr>
                    <w:pStyle w:val="null3"/>
                  </w:pPr>
                  <w:r>
                    <w:rPr>
                      <w:rFonts w:ascii="仿宋_GB2312" w:hAnsi="仿宋_GB2312" w:cs="仿宋_GB2312" w:eastAsia="仿宋_GB2312"/>
                    </w:rPr>
                    <w:t>密码应用方案</w:t>
                  </w:r>
                </w:p>
                <w:p>
                  <w:pPr>
                    <w:pStyle w:val="null3"/>
                  </w:pPr>
                  <w:r>
                    <w:rPr>
                      <w:rFonts w:ascii="仿宋_GB2312" w:hAnsi="仿宋_GB2312" w:cs="仿宋_GB2312" w:eastAsia="仿宋_GB2312"/>
                    </w:rPr>
                    <w:t>评估</w:t>
                  </w:r>
                </w:p>
              </w:tc>
              <w:tc>
                <w:tcPr>
                  <w:tcW w:type="dxa" w:w="638"/>
                </w:tcPr>
                <w:p>
                  <w:pPr>
                    <w:pStyle w:val="null3"/>
                  </w:pPr>
                  <w:r>
                    <w:rPr>
                      <w:rFonts w:ascii="仿宋_GB2312" w:hAnsi="仿宋_GB2312" w:cs="仿宋_GB2312" w:eastAsia="仿宋_GB2312"/>
                    </w:rPr>
                    <w:t>对委托方制定的密码应用方案进行评估，出具《密码应用方案评估报告》</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系统评估</w:t>
                  </w:r>
                </w:p>
              </w:tc>
              <w:tc>
                <w:tcPr>
                  <w:tcW w:type="dxa" w:w="638"/>
                </w:tcPr>
                <w:p>
                  <w:pPr>
                    <w:pStyle w:val="null3"/>
                  </w:pPr>
                  <w:r>
                    <w:rPr>
                      <w:rFonts w:ascii="仿宋_GB2312" w:hAnsi="仿宋_GB2312" w:cs="仿宋_GB2312" w:eastAsia="仿宋_GB2312"/>
                    </w:rPr>
                    <w:t>依据《信息安全技术信息系统密码应用基本要求》（GB/T39786-2021）等标准进行测评</w:t>
                  </w:r>
                </w:p>
              </w:tc>
              <w:tc>
                <w:tcPr>
                  <w:tcW w:type="dxa" w:w="638"/>
                </w:tcPr>
                <w:p>
                  <w:pPr>
                    <w:pStyle w:val="null3"/>
                  </w:pPr>
                  <w:r>
                    <w:rPr>
                      <w:rFonts w:ascii="仿宋_GB2312" w:hAnsi="仿宋_GB2312" w:cs="仿宋_GB2312" w:eastAsia="仿宋_GB2312"/>
                    </w:rPr>
                    <w:t>按照GB/T39786-2021《信息安全技术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报告编制</w:t>
                  </w:r>
                </w:p>
              </w:tc>
              <w:tc>
                <w:tcPr>
                  <w:tcW w:type="dxa" w:w="638"/>
                </w:tcPr>
                <w:p>
                  <w:pPr>
                    <w:pStyle w:val="null3"/>
                  </w:pPr>
                  <w:r>
                    <w:rPr>
                      <w:rFonts w:ascii="仿宋_GB2312" w:hAnsi="仿宋_GB2312" w:cs="仿宋_GB2312" w:eastAsia="仿宋_GB2312"/>
                    </w:rPr>
                    <w:t>编制评估报告</w:t>
                  </w:r>
                </w:p>
              </w:tc>
              <w:tc>
                <w:tcPr>
                  <w:tcW w:type="dxa" w:w="638"/>
                </w:tcPr>
                <w:p>
                  <w:pPr>
                    <w:pStyle w:val="null3"/>
                  </w:pPr>
                  <w:r>
                    <w:rPr>
                      <w:rFonts w:ascii="仿宋_GB2312" w:hAnsi="仿宋_GB2312" w:cs="仿宋_GB2312" w:eastAsia="仿宋_GB2312"/>
                    </w:rPr>
                    <w:t>对评估过程中发现的问题进行汇总确认，总结各项评估指标的评估结果，编制评估报告。</w:t>
                  </w:r>
                </w:p>
              </w:tc>
            </w:tr>
          </w:tbl>
          <w:p>
            <w:pPr>
              <w:pStyle w:val="null3"/>
            </w:pPr>
            <w:r>
              <w:rPr>
                <w:rFonts w:ascii="仿宋_GB2312" w:hAnsi="仿宋_GB2312" w:cs="仿宋_GB2312" w:eastAsia="仿宋_GB2312"/>
              </w:rPr>
              <w:t>开展商用密码应用安全性评估，从通用要求、物理和环境、网络和通信、设备和计算、应用和数据、管理制度、人员管理、建设运行、应急处置等方面开展测评，具体测评指标如下：</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测评层面</w:t>
                  </w:r>
                </w:p>
              </w:tc>
              <w:tc>
                <w:tcPr>
                  <w:tcW w:type="dxa" w:w="851"/>
                </w:tcPr>
                <w:p>
                  <w:pPr>
                    <w:pStyle w:val="null3"/>
                  </w:pPr>
                  <w:r>
                    <w:rPr>
                      <w:rFonts w:ascii="仿宋_GB2312" w:hAnsi="仿宋_GB2312" w:cs="仿宋_GB2312" w:eastAsia="仿宋_GB2312"/>
                    </w:rPr>
                    <w:t>测评单元</w:t>
                  </w:r>
                </w:p>
              </w:tc>
              <w:tc>
                <w:tcPr>
                  <w:tcW w:type="dxa" w:w="851"/>
                </w:tcPr>
                <w:p>
                  <w:pPr>
                    <w:pStyle w:val="null3"/>
                  </w:pPr>
                  <w:r>
                    <w:rPr>
                      <w:rFonts w:ascii="仿宋_GB2312" w:hAnsi="仿宋_GB2312" w:cs="仿宋_GB2312" w:eastAsia="仿宋_GB2312"/>
                    </w:rPr>
                    <w:t>指标要求</w:t>
                  </w:r>
                </w:p>
              </w:tc>
            </w:tr>
            <w:tr>
              <w:tc>
                <w:tcPr>
                  <w:tcW w:type="dxa" w:w="851"/>
                  <w:vMerge w:val="restart"/>
                </w:tcPr>
                <w:p>
                  <w:pPr>
                    <w:pStyle w:val="null3"/>
                  </w:pPr>
                  <w:r>
                    <w:rPr>
                      <w:rFonts w:ascii="仿宋_GB2312" w:hAnsi="仿宋_GB2312" w:cs="仿宋_GB2312" w:eastAsia="仿宋_GB2312"/>
                    </w:rPr>
                    <w:t>物理和环境安全</w:t>
                  </w:r>
                </w:p>
              </w:tc>
              <w:tc>
                <w:tcPr>
                  <w:tcW w:type="dxa" w:w="851"/>
                </w:tcPr>
                <w:p>
                  <w:pPr>
                    <w:pStyle w:val="null3"/>
                  </w:pPr>
                  <w:r>
                    <w:rPr>
                      <w:rFonts w:ascii="仿宋_GB2312" w:hAnsi="仿宋_GB2312" w:cs="仿宋_GB2312" w:eastAsia="仿宋_GB2312"/>
                    </w:rPr>
                    <w:t>身份鉴别</w:t>
                  </w:r>
                </w:p>
              </w:tc>
              <w:tc>
                <w:tcPr>
                  <w:tcW w:type="dxa" w:w="851"/>
                </w:tcPr>
                <w:p>
                  <w:pPr>
                    <w:pStyle w:val="null3"/>
                  </w:pPr>
                  <w:r>
                    <w:rPr>
                      <w:rFonts w:ascii="仿宋_GB2312" w:hAnsi="仿宋_GB2312" w:cs="仿宋_GB2312" w:eastAsia="仿宋_GB2312"/>
                    </w:rPr>
                    <w:t>宜采用密码技术进行物理访问身份鉴别，保证重要区域进入人员身份的真实性。</w:t>
                  </w:r>
                </w:p>
              </w:tc>
            </w:tr>
            <w:tr>
              <w:tc>
                <w:tcPr>
                  <w:tcW w:type="dxa" w:w="851"/>
                  <w:vMerge/>
                </w:tcPr>
                <w:p/>
              </w:tc>
              <w:tc>
                <w:tcPr>
                  <w:tcW w:type="dxa" w:w="851"/>
                </w:tcPr>
                <w:p>
                  <w:pPr>
                    <w:pStyle w:val="null3"/>
                  </w:pPr>
                  <w:r>
                    <w:rPr>
                      <w:rFonts w:ascii="仿宋_GB2312" w:hAnsi="仿宋_GB2312" w:cs="仿宋_GB2312" w:eastAsia="仿宋_GB2312"/>
                    </w:rPr>
                    <w:t>电子门禁记录数据存储完整性</w:t>
                  </w:r>
                </w:p>
              </w:tc>
              <w:tc>
                <w:tcPr>
                  <w:tcW w:type="dxa" w:w="851"/>
                </w:tcPr>
                <w:p>
                  <w:pPr>
                    <w:pStyle w:val="null3"/>
                  </w:pPr>
                  <w:r>
                    <w:rPr>
                      <w:rFonts w:ascii="仿宋_GB2312" w:hAnsi="仿宋_GB2312" w:cs="仿宋_GB2312" w:eastAsia="仿宋_GB2312"/>
                    </w:rPr>
                    <w:t>宜采用密码技术保证电子门禁系统进出记录数据的存储完整性。</w:t>
                  </w:r>
                </w:p>
              </w:tc>
            </w:tr>
            <w:tr>
              <w:tc>
                <w:tcPr>
                  <w:tcW w:type="dxa" w:w="851"/>
                  <w:vMerge/>
                </w:tcPr>
                <w:p/>
              </w:tc>
              <w:tc>
                <w:tcPr>
                  <w:tcW w:type="dxa" w:w="851"/>
                </w:tcPr>
                <w:p>
                  <w:pPr>
                    <w:pStyle w:val="null3"/>
                  </w:pPr>
                  <w:r>
                    <w:rPr>
                      <w:rFonts w:ascii="仿宋_GB2312" w:hAnsi="仿宋_GB2312" w:cs="仿宋_GB2312" w:eastAsia="仿宋_GB2312"/>
                    </w:rPr>
                    <w:t>视频监控记录数据存储完整性</w:t>
                  </w:r>
                </w:p>
              </w:tc>
              <w:tc>
                <w:tcPr>
                  <w:tcW w:type="dxa" w:w="851"/>
                </w:tcPr>
                <w:p>
                  <w:pPr>
                    <w:pStyle w:val="null3"/>
                  </w:pPr>
                  <w:r>
                    <w:rPr>
                      <w:rFonts w:ascii="仿宋_GB2312" w:hAnsi="仿宋_GB2312" w:cs="仿宋_GB2312" w:eastAsia="仿宋_GB2312"/>
                    </w:rPr>
                    <w:t>宜采用密码技术保证视频监控音像记录数据的存储完整性。</w:t>
                  </w:r>
                </w:p>
              </w:tc>
            </w:tr>
            <w:tr>
              <w:tc>
                <w:tcPr>
                  <w:tcW w:type="dxa" w:w="851"/>
                  <w:vMerge w:val="restart"/>
                </w:tcPr>
                <w:p>
                  <w:pPr>
                    <w:pStyle w:val="null3"/>
                  </w:pPr>
                  <w:r>
                    <w:rPr>
                      <w:rFonts w:ascii="仿宋_GB2312" w:hAnsi="仿宋_GB2312" w:cs="仿宋_GB2312" w:eastAsia="仿宋_GB2312"/>
                    </w:rPr>
                    <w:t>网络和通信安全</w:t>
                  </w:r>
                </w:p>
              </w:tc>
              <w:tc>
                <w:tcPr>
                  <w:tcW w:type="dxa" w:w="851"/>
                </w:tcPr>
                <w:p>
                  <w:pPr>
                    <w:pStyle w:val="null3"/>
                  </w:pPr>
                  <w:r>
                    <w:rPr>
                      <w:rFonts w:ascii="仿宋_GB2312" w:hAnsi="仿宋_GB2312" w:cs="仿宋_GB2312" w:eastAsia="仿宋_GB2312"/>
                    </w:rPr>
                    <w:t>身份鉴别</w:t>
                  </w:r>
                </w:p>
              </w:tc>
              <w:tc>
                <w:tcPr>
                  <w:tcW w:type="dxa" w:w="851"/>
                </w:tcPr>
                <w:p>
                  <w:pPr>
                    <w:pStyle w:val="null3"/>
                  </w:pPr>
                  <w:r>
                    <w:rPr>
                      <w:rFonts w:ascii="仿宋_GB2312" w:hAnsi="仿宋_GB2312" w:cs="仿宋_GB2312" w:eastAsia="仿宋_GB2312"/>
                    </w:rPr>
                    <w:t>应采用密码技术对通信实体进行身份鉴别，保证通信实体身份的真实性。</w:t>
                  </w:r>
                </w:p>
              </w:tc>
            </w:tr>
            <w:tr>
              <w:tc>
                <w:tcPr>
                  <w:tcW w:type="dxa" w:w="851"/>
                  <w:vMerge/>
                </w:tcPr>
                <w:p/>
              </w:tc>
              <w:tc>
                <w:tcPr>
                  <w:tcW w:type="dxa" w:w="851"/>
                </w:tcPr>
                <w:p>
                  <w:pPr>
                    <w:pStyle w:val="null3"/>
                  </w:pPr>
                  <w:r>
                    <w:rPr>
                      <w:rFonts w:ascii="仿宋_GB2312" w:hAnsi="仿宋_GB2312" w:cs="仿宋_GB2312" w:eastAsia="仿宋_GB2312"/>
                    </w:rPr>
                    <w:t>通信数据完整性</w:t>
                  </w:r>
                </w:p>
              </w:tc>
              <w:tc>
                <w:tcPr>
                  <w:tcW w:type="dxa" w:w="851"/>
                </w:tcPr>
                <w:p>
                  <w:pPr>
                    <w:pStyle w:val="null3"/>
                  </w:pPr>
                  <w:r>
                    <w:rPr>
                      <w:rFonts w:ascii="仿宋_GB2312" w:hAnsi="仿宋_GB2312" w:cs="仿宋_GB2312" w:eastAsia="仿宋_GB2312"/>
                    </w:rPr>
                    <w:t>宜采用密码技术保证通信过程中数据的完整性。</w:t>
                  </w:r>
                </w:p>
              </w:tc>
            </w:tr>
            <w:tr>
              <w:tc>
                <w:tcPr>
                  <w:tcW w:type="dxa" w:w="851"/>
                  <w:vMerge/>
                </w:tcPr>
                <w:p/>
              </w:tc>
              <w:tc>
                <w:tcPr>
                  <w:tcW w:type="dxa" w:w="851"/>
                </w:tcPr>
                <w:p>
                  <w:pPr>
                    <w:pStyle w:val="null3"/>
                  </w:pPr>
                  <w:r>
                    <w:rPr>
                      <w:rFonts w:ascii="仿宋_GB2312" w:hAnsi="仿宋_GB2312" w:cs="仿宋_GB2312" w:eastAsia="仿宋_GB2312"/>
                    </w:rPr>
                    <w:t>通信过程中重要数据的机密性</w:t>
                  </w:r>
                </w:p>
              </w:tc>
              <w:tc>
                <w:tcPr>
                  <w:tcW w:type="dxa" w:w="851"/>
                </w:tcPr>
                <w:p>
                  <w:pPr>
                    <w:pStyle w:val="null3"/>
                  </w:pPr>
                  <w:r>
                    <w:rPr>
                      <w:rFonts w:ascii="仿宋_GB2312" w:hAnsi="仿宋_GB2312" w:cs="仿宋_GB2312" w:eastAsia="仿宋_GB2312"/>
                    </w:rPr>
                    <w:t>应采用密码技术保证通信过程中重要数据的机密性。</w:t>
                  </w:r>
                </w:p>
              </w:tc>
            </w:tr>
            <w:tr>
              <w:tc>
                <w:tcPr>
                  <w:tcW w:type="dxa" w:w="851"/>
                  <w:vMerge/>
                </w:tcPr>
                <w:p/>
              </w:tc>
              <w:tc>
                <w:tcPr>
                  <w:tcW w:type="dxa" w:w="851"/>
                </w:tcPr>
                <w:p>
                  <w:pPr>
                    <w:pStyle w:val="null3"/>
                  </w:pPr>
                  <w:r>
                    <w:rPr>
                      <w:rFonts w:ascii="仿宋_GB2312" w:hAnsi="仿宋_GB2312" w:cs="仿宋_GB2312" w:eastAsia="仿宋_GB2312"/>
                    </w:rPr>
                    <w:t>网络边界访问控制信息的完整性</w:t>
                  </w:r>
                </w:p>
              </w:tc>
              <w:tc>
                <w:tcPr>
                  <w:tcW w:type="dxa" w:w="851"/>
                </w:tcPr>
                <w:p>
                  <w:pPr>
                    <w:pStyle w:val="null3"/>
                  </w:pPr>
                  <w:r>
                    <w:rPr>
                      <w:rFonts w:ascii="仿宋_GB2312" w:hAnsi="仿宋_GB2312" w:cs="仿宋_GB2312" w:eastAsia="仿宋_GB2312"/>
                    </w:rPr>
                    <w:t>宜采用密码技术保证网络边界访问控制信息的完整性。</w:t>
                  </w:r>
                </w:p>
              </w:tc>
            </w:tr>
            <w:tr>
              <w:tc>
                <w:tcPr>
                  <w:tcW w:type="dxa" w:w="851"/>
                  <w:vMerge/>
                </w:tcPr>
                <w:p/>
              </w:tc>
              <w:tc>
                <w:tcPr>
                  <w:tcW w:type="dxa" w:w="851"/>
                </w:tcPr>
                <w:p>
                  <w:pPr>
                    <w:pStyle w:val="null3"/>
                  </w:pPr>
                  <w:r>
                    <w:rPr>
                      <w:rFonts w:ascii="仿宋_GB2312" w:hAnsi="仿宋_GB2312" w:cs="仿宋_GB2312" w:eastAsia="仿宋_GB2312"/>
                    </w:rPr>
                    <w:t>安全接入认证</w:t>
                  </w:r>
                </w:p>
              </w:tc>
              <w:tc>
                <w:tcPr>
                  <w:tcW w:type="dxa" w:w="851"/>
                </w:tcPr>
                <w:p>
                  <w:pPr>
                    <w:pStyle w:val="null3"/>
                  </w:pPr>
                  <w:r>
                    <w:rPr>
                      <w:rFonts w:ascii="仿宋_GB2312" w:hAnsi="仿宋_GB2312" w:cs="仿宋_GB2312" w:eastAsia="仿宋_GB2312"/>
                    </w:rPr>
                    <w:t>可采用密码技术对从外部连接到内部网络的设备进行接入认证，确保接入的设备身份真实性。</w:t>
                  </w:r>
                </w:p>
              </w:tc>
            </w:tr>
            <w:tr>
              <w:tc>
                <w:tcPr>
                  <w:tcW w:type="dxa" w:w="851"/>
                  <w:vMerge w:val="restart"/>
                </w:tcPr>
                <w:p>
                  <w:pPr>
                    <w:pStyle w:val="null3"/>
                  </w:pPr>
                  <w:r>
                    <w:rPr>
                      <w:rFonts w:ascii="仿宋_GB2312" w:hAnsi="仿宋_GB2312" w:cs="仿宋_GB2312" w:eastAsia="仿宋_GB2312"/>
                    </w:rPr>
                    <w:t>设备和计算安全</w:t>
                  </w:r>
                </w:p>
              </w:tc>
              <w:tc>
                <w:tcPr>
                  <w:tcW w:type="dxa" w:w="851"/>
                </w:tcPr>
                <w:p>
                  <w:pPr>
                    <w:pStyle w:val="null3"/>
                  </w:pPr>
                  <w:r>
                    <w:rPr>
                      <w:rFonts w:ascii="仿宋_GB2312" w:hAnsi="仿宋_GB2312" w:cs="仿宋_GB2312" w:eastAsia="仿宋_GB2312"/>
                    </w:rPr>
                    <w:t>身份鉴别</w:t>
                  </w:r>
                </w:p>
              </w:tc>
              <w:tc>
                <w:tcPr>
                  <w:tcW w:type="dxa" w:w="851"/>
                </w:tcPr>
                <w:p>
                  <w:pPr>
                    <w:pStyle w:val="null3"/>
                  </w:pPr>
                  <w:r>
                    <w:rPr>
                      <w:rFonts w:ascii="仿宋_GB2312" w:hAnsi="仿宋_GB2312" w:cs="仿宋_GB2312" w:eastAsia="仿宋_GB2312"/>
                    </w:rPr>
                    <w:t>应采用密码技术对登录设备的用户进行身份鉴别，保证用户身份的真实性。</w:t>
                  </w:r>
                </w:p>
              </w:tc>
            </w:tr>
            <w:tr>
              <w:tc>
                <w:tcPr>
                  <w:tcW w:type="dxa" w:w="851"/>
                  <w:vMerge/>
                </w:tcPr>
                <w:p/>
              </w:tc>
              <w:tc>
                <w:tcPr>
                  <w:tcW w:type="dxa" w:w="851"/>
                </w:tcPr>
                <w:p>
                  <w:pPr>
                    <w:pStyle w:val="null3"/>
                  </w:pPr>
                  <w:r>
                    <w:rPr>
                      <w:rFonts w:ascii="仿宋_GB2312" w:hAnsi="仿宋_GB2312" w:cs="仿宋_GB2312" w:eastAsia="仿宋_GB2312"/>
                    </w:rPr>
                    <w:t>远程管理通道安全</w:t>
                  </w:r>
                </w:p>
              </w:tc>
              <w:tc>
                <w:tcPr>
                  <w:tcW w:type="dxa" w:w="851"/>
                </w:tcPr>
                <w:p>
                  <w:pPr>
                    <w:pStyle w:val="null3"/>
                  </w:pPr>
                  <w:r>
                    <w:rPr>
                      <w:rFonts w:ascii="仿宋_GB2312" w:hAnsi="仿宋_GB2312" w:cs="仿宋_GB2312" w:eastAsia="仿宋_GB2312"/>
                    </w:rPr>
                    <w:t>远程管理设备时，应采用密码技术建立安全的信息传输通道。</w:t>
                  </w:r>
                </w:p>
              </w:tc>
            </w:tr>
            <w:tr>
              <w:tc>
                <w:tcPr>
                  <w:tcW w:type="dxa" w:w="851"/>
                  <w:vMerge/>
                </w:tcPr>
                <w:p/>
              </w:tc>
              <w:tc>
                <w:tcPr>
                  <w:tcW w:type="dxa" w:w="851"/>
                </w:tcPr>
                <w:p>
                  <w:pPr>
                    <w:pStyle w:val="null3"/>
                  </w:pPr>
                  <w:r>
                    <w:rPr>
                      <w:rFonts w:ascii="仿宋_GB2312" w:hAnsi="仿宋_GB2312" w:cs="仿宋_GB2312" w:eastAsia="仿宋_GB2312"/>
                    </w:rPr>
                    <w:t>系统资源访问控制信息完整性</w:t>
                  </w:r>
                </w:p>
              </w:tc>
              <w:tc>
                <w:tcPr>
                  <w:tcW w:type="dxa" w:w="851"/>
                </w:tcPr>
                <w:p>
                  <w:pPr>
                    <w:pStyle w:val="null3"/>
                  </w:pPr>
                  <w:r>
                    <w:rPr>
                      <w:rFonts w:ascii="仿宋_GB2312" w:hAnsi="仿宋_GB2312" w:cs="仿宋_GB2312" w:eastAsia="仿宋_GB2312"/>
                    </w:rPr>
                    <w:t>宜采用密码技术保证系统资源访问控制信息的完整性。</w:t>
                  </w:r>
                </w:p>
              </w:tc>
            </w:tr>
            <w:tr>
              <w:tc>
                <w:tcPr>
                  <w:tcW w:type="dxa" w:w="851"/>
                  <w:vMerge/>
                </w:tcPr>
                <w:p/>
              </w:tc>
              <w:tc>
                <w:tcPr>
                  <w:tcW w:type="dxa" w:w="851"/>
                </w:tcPr>
                <w:p>
                  <w:pPr>
                    <w:pStyle w:val="null3"/>
                  </w:pPr>
                  <w:r>
                    <w:rPr>
                      <w:rFonts w:ascii="仿宋_GB2312" w:hAnsi="仿宋_GB2312" w:cs="仿宋_GB2312" w:eastAsia="仿宋_GB2312"/>
                    </w:rPr>
                    <w:t>重要信息资源安全标记完整性</w:t>
                  </w:r>
                </w:p>
              </w:tc>
              <w:tc>
                <w:tcPr>
                  <w:tcW w:type="dxa" w:w="851"/>
                </w:tcPr>
                <w:p>
                  <w:pPr>
                    <w:pStyle w:val="null3"/>
                  </w:pPr>
                  <w:r>
                    <w:rPr>
                      <w:rFonts w:ascii="仿宋_GB2312" w:hAnsi="仿宋_GB2312" w:cs="仿宋_GB2312" w:eastAsia="仿宋_GB2312"/>
                    </w:rPr>
                    <w:t>宜采用密码技术保证设备中的重要信息资源安全标记的完整性。</w:t>
                  </w:r>
                </w:p>
              </w:tc>
            </w:tr>
            <w:tr>
              <w:tc>
                <w:tcPr>
                  <w:tcW w:type="dxa" w:w="851"/>
                  <w:vMerge/>
                </w:tcPr>
                <w:p/>
              </w:tc>
              <w:tc>
                <w:tcPr>
                  <w:tcW w:type="dxa" w:w="851"/>
                </w:tcPr>
                <w:p>
                  <w:pPr>
                    <w:pStyle w:val="null3"/>
                  </w:pPr>
                  <w:r>
                    <w:rPr>
                      <w:rFonts w:ascii="仿宋_GB2312" w:hAnsi="仿宋_GB2312" w:cs="仿宋_GB2312" w:eastAsia="仿宋_GB2312"/>
                    </w:rPr>
                    <w:t>日志记录完整性</w:t>
                  </w:r>
                </w:p>
              </w:tc>
              <w:tc>
                <w:tcPr>
                  <w:tcW w:type="dxa" w:w="851"/>
                </w:tcPr>
                <w:p>
                  <w:pPr>
                    <w:pStyle w:val="null3"/>
                  </w:pPr>
                  <w:r>
                    <w:rPr>
                      <w:rFonts w:ascii="仿宋_GB2312" w:hAnsi="仿宋_GB2312" w:cs="仿宋_GB2312" w:eastAsia="仿宋_GB2312"/>
                    </w:rPr>
                    <w:t>宜采用密码技术保证日志记录的完整性。</w:t>
                  </w:r>
                </w:p>
              </w:tc>
            </w:tr>
            <w:tr>
              <w:tc>
                <w:tcPr>
                  <w:tcW w:type="dxa" w:w="851"/>
                  <w:vMerge/>
                </w:tcPr>
                <w:p/>
              </w:tc>
              <w:tc>
                <w:tcPr>
                  <w:tcW w:type="dxa" w:w="851"/>
                </w:tcPr>
                <w:p>
                  <w:pPr>
                    <w:pStyle w:val="null3"/>
                  </w:pPr>
                  <w:r>
                    <w:rPr>
                      <w:rFonts w:ascii="仿宋_GB2312" w:hAnsi="仿宋_GB2312" w:cs="仿宋_GB2312" w:eastAsia="仿宋_GB2312"/>
                    </w:rPr>
                    <w:t>重要可执行程序完整性、重要可执行程序来源真实性</w:t>
                  </w:r>
                </w:p>
              </w:tc>
              <w:tc>
                <w:tcPr>
                  <w:tcW w:type="dxa" w:w="851"/>
                </w:tcPr>
                <w:p>
                  <w:pPr>
                    <w:pStyle w:val="null3"/>
                  </w:pPr>
                  <w:r>
                    <w:rPr>
                      <w:rFonts w:ascii="仿宋_GB2312" w:hAnsi="仿宋_GB2312" w:cs="仿宋_GB2312" w:eastAsia="仿宋_GB2312"/>
                    </w:rPr>
                    <w:t>宜采用密码技术对重要可执行程序进行完整性保护，并对其来源进行真实性验证。</w:t>
                  </w:r>
                </w:p>
              </w:tc>
            </w:tr>
            <w:tr>
              <w:tc>
                <w:tcPr>
                  <w:tcW w:type="dxa" w:w="851"/>
                  <w:vMerge w:val="restart"/>
                </w:tcPr>
                <w:p>
                  <w:pPr>
                    <w:pStyle w:val="null3"/>
                  </w:pPr>
                  <w:r>
                    <w:rPr>
                      <w:rFonts w:ascii="仿宋_GB2312" w:hAnsi="仿宋_GB2312" w:cs="仿宋_GB2312" w:eastAsia="仿宋_GB2312"/>
                    </w:rPr>
                    <w:t>应用和数据安全</w:t>
                  </w:r>
                </w:p>
              </w:tc>
              <w:tc>
                <w:tcPr>
                  <w:tcW w:type="dxa" w:w="851"/>
                </w:tcPr>
                <w:p>
                  <w:pPr>
                    <w:pStyle w:val="null3"/>
                  </w:pPr>
                  <w:r>
                    <w:rPr>
                      <w:rFonts w:ascii="仿宋_GB2312" w:hAnsi="仿宋_GB2312" w:cs="仿宋_GB2312" w:eastAsia="仿宋_GB2312"/>
                    </w:rPr>
                    <w:t>身份鉴别</w:t>
                  </w:r>
                </w:p>
              </w:tc>
              <w:tc>
                <w:tcPr>
                  <w:tcW w:type="dxa" w:w="851"/>
                </w:tcPr>
                <w:p>
                  <w:pPr>
                    <w:pStyle w:val="null3"/>
                  </w:pPr>
                  <w:r>
                    <w:rPr>
                      <w:rFonts w:ascii="仿宋_GB2312" w:hAnsi="仿宋_GB2312" w:cs="仿宋_GB2312" w:eastAsia="仿宋_GB2312"/>
                    </w:rPr>
                    <w:t>应采用密码技术对登录用户进行身份鉴别，保证应用系统用户身份的真实性。</w:t>
                  </w:r>
                </w:p>
              </w:tc>
            </w:tr>
            <w:tr>
              <w:tc>
                <w:tcPr>
                  <w:tcW w:type="dxa" w:w="851"/>
                  <w:vMerge/>
                </w:tcPr>
                <w:p/>
              </w:tc>
              <w:tc>
                <w:tcPr>
                  <w:tcW w:type="dxa" w:w="851"/>
                </w:tcPr>
                <w:p>
                  <w:pPr>
                    <w:pStyle w:val="null3"/>
                  </w:pPr>
                  <w:r>
                    <w:rPr>
                      <w:rFonts w:ascii="仿宋_GB2312" w:hAnsi="仿宋_GB2312" w:cs="仿宋_GB2312" w:eastAsia="仿宋_GB2312"/>
                    </w:rPr>
                    <w:t>访问控制信息完整性</w:t>
                  </w:r>
                </w:p>
              </w:tc>
              <w:tc>
                <w:tcPr>
                  <w:tcW w:type="dxa" w:w="851"/>
                </w:tcPr>
                <w:p>
                  <w:pPr>
                    <w:pStyle w:val="null3"/>
                  </w:pPr>
                  <w:r>
                    <w:rPr>
                      <w:rFonts w:ascii="仿宋_GB2312" w:hAnsi="仿宋_GB2312" w:cs="仿宋_GB2312" w:eastAsia="仿宋_GB2312"/>
                    </w:rPr>
                    <w:t>宜采用密码技术保证信息系统应用的访问控制信息的完整性。</w:t>
                  </w:r>
                </w:p>
              </w:tc>
            </w:tr>
            <w:tr>
              <w:tc>
                <w:tcPr>
                  <w:tcW w:type="dxa" w:w="851"/>
                  <w:vMerge/>
                </w:tcPr>
                <w:p/>
              </w:tc>
              <w:tc>
                <w:tcPr>
                  <w:tcW w:type="dxa" w:w="851"/>
                </w:tcPr>
                <w:p>
                  <w:pPr>
                    <w:pStyle w:val="null3"/>
                  </w:pPr>
                  <w:r>
                    <w:rPr>
                      <w:rFonts w:ascii="仿宋_GB2312" w:hAnsi="仿宋_GB2312" w:cs="仿宋_GB2312" w:eastAsia="仿宋_GB2312"/>
                    </w:rPr>
                    <w:t>重要信息资源安全标记完整性</w:t>
                  </w:r>
                </w:p>
              </w:tc>
              <w:tc>
                <w:tcPr>
                  <w:tcW w:type="dxa" w:w="851"/>
                </w:tcPr>
                <w:p>
                  <w:pPr>
                    <w:pStyle w:val="null3"/>
                  </w:pPr>
                  <w:r>
                    <w:rPr>
                      <w:rFonts w:ascii="仿宋_GB2312" w:hAnsi="仿宋_GB2312" w:cs="仿宋_GB2312" w:eastAsia="仿宋_GB2312"/>
                    </w:rPr>
                    <w:t>宜采用密码技术保证信息系统应用的重要信息资源安全标记的完整性；</w:t>
                  </w:r>
                </w:p>
              </w:tc>
            </w:tr>
            <w:tr>
              <w:tc>
                <w:tcPr>
                  <w:tcW w:type="dxa" w:w="851"/>
                  <w:vMerge/>
                </w:tcPr>
                <w:p/>
              </w:tc>
              <w:tc>
                <w:tcPr>
                  <w:tcW w:type="dxa" w:w="851"/>
                </w:tcPr>
                <w:p>
                  <w:pPr>
                    <w:pStyle w:val="null3"/>
                  </w:pPr>
                  <w:r>
                    <w:rPr>
                      <w:rFonts w:ascii="仿宋_GB2312" w:hAnsi="仿宋_GB2312" w:cs="仿宋_GB2312" w:eastAsia="仿宋_GB2312"/>
                    </w:rPr>
                    <w:t>重要数据传输机密性</w:t>
                  </w:r>
                </w:p>
              </w:tc>
              <w:tc>
                <w:tcPr>
                  <w:tcW w:type="dxa" w:w="851"/>
                </w:tcPr>
                <w:p>
                  <w:pPr>
                    <w:pStyle w:val="null3"/>
                  </w:pPr>
                  <w:r>
                    <w:rPr>
                      <w:rFonts w:ascii="仿宋_GB2312" w:hAnsi="仿宋_GB2312" w:cs="仿宋_GB2312" w:eastAsia="仿宋_GB2312"/>
                    </w:rPr>
                    <w:t>应采用密码技术保证信息系统应用的重要数据在传输过程中的机密性。</w:t>
                  </w:r>
                </w:p>
              </w:tc>
            </w:tr>
            <w:tr>
              <w:tc>
                <w:tcPr>
                  <w:tcW w:type="dxa" w:w="851"/>
                  <w:vMerge/>
                </w:tcPr>
                <w:p/>
              </w:tc>
              <w:tc>
                <w:tcPr>
                  <w:tcW w:type="dxa" w:w="851"/>
                </w:tcPr>
                <w:p>
                  <w:pPr>
                    <w:pStyle w:val="null3"/>
                  </w:pPr>
                  <w:r>
                    <w:rPr>
                      <w:rFonts w:ascii="仿宋_GB2312" w:hAnsi="仿宋_GB2312" w:cs="仿宋_GB2312" w:eastAsia="仿宋_GB2312"/>
                    </w:rPr>
                    <w:t>重要数据存储机密性</w:t>
                  </w:r>
                </w:p>
              </w:tc>
              <w:tc>
                <w:tcPr>
                  <w:tcW w:type="dxa" w:w="851"/>
                </w:tcPr>
                <w:p>
                  <w:pPr>
                    <w:pStyle w:val="null3"/>
                  </w:pPr>
                  <w:r>
                    <w:rPr>
                      <w:rFonts w:ascii="仿宋_GB2312" w:hAnsi="仿宋_GB2312" w:cs="仿宋_GB2312" w:eastAsia="仿宋_GB2312"/>
                    </w:rPr>
                    <w:t>应采用密码技术保证信息系统应用的重要数据在存储过程中的机密性。</w:t>
                  </w:r>
                </w:p>
              </w:tc>
            </w:tr>
            <w:tr>
              <w:tc>
                <w:tcPr>
                  <w:tcW w:type="dxa" w:w="851"/>
                  <w:vMerge/>
                </w:tcPr>
                <w:p/>
              </w:tc>
              <w:tc>
                <w:tcPr>
                  <w:tcW w:type="dxa" w:w="851"/>
                </w:tcPr>
                <w:p>
                  <w:pPr>
                    <w:pStyle w:val="null3"/>
                  </w:pPr>
                  <w:r>
                    <w:rPr>
                      <w:rFonts w:ascii="仿宋_GB2312" w:hAnsi="仿宋_GB2312" w:cs="仿宋_GB2312" w:eastAsia="仿宋_GB2312"/>
                    </w:rPr>
                    <w:t>重要数据传输完整性</w:t>
                  </w:r>
                </w:p>
              </w:tc>
              <w:tc>
                <w:tcPr>
                  <w:tcW w:type="dxa" w:w="851"/>
                </w:tcPr>
                <w:p>
                  <w:pPr>
                    <w:pStyle w:val="null3"/>
                  </w:pPr>
                  <w:r>
                    <w:rPr>
                      <w:rFonts w:ascii="仿宋_GB2312" w:hAnsi="仿宋_GB2312" w:cs="仿宋_GB2312" w:eastAsia="仿宋_GB2312"/>
                    </w:rPr>
                    <w:t>宜采用密码技术保证信息系统应用的重要数据在传输过程中的完整性。</w:t>
                  </w:r>
                </w:p>
              </w:tc>
            </w:tr>
            <w:tr>
              <w:tc>
                <w:tcPr>
                  <w:tcW w:type="dxa" w:w="851"/>
                  <w:vMerge/>
                </w:tcPr>
                <w:p/>
              </w:tc>
              <w:tc>
                <w:tcPr>
                  <w:tcW w:type="dxa" w:w="851"/>
                </w:tcPr>
                <w:p>
                  <w:pPr>
                    <w:pStyle w:val="null3"/>
                  </w:pPr>
                  <w:r>
                    <w:rPr>
                      <w:rFonts w:ascii="仿宋_GB2312" w:hAnsi="仿宋_GB2312" w:cs="仿宋_GB2312" w:eastAsia="仿宋_GB2312"/>
                    </w:rPr>
                    <w:t>重要数据存储完整性</w:t>
                  </w:r>
                </w:p>
              </w:tc>
              <w:tc>
                <w:tcPr>
                  <w:tcW w:type="dxa" w:w="851"/>
                </w:tcPr>
                <w:p>
                  <w:pPr>
                    <w:pStyle w:val="null3"/>
                  </w:pPr>
                  <w:r>
                    <w:rPr>
                      <w:rFonts w:ascii="仿宋_GB2312" w:hAnsi="仿宋_GB2312" w:cs="仿宋_GB2312" w:eastAsia="仿宋_GB2312"/>
                    </w:rPr>
                    <w:t>宜采用密码技术保证信息系统应用的重要数据在存储过程中的完整性；</w:t>
                  </w:r>
                </w:p>
              </w:tc>
            </w:tr>
            <w:tr>
              <w:tc>
                <w:tcPr>
                  <w:tcW w:type="dxa" w:w="851"/>
                  <w:vMerge/>
                </w:tcPr>
                <w:p/>
              </w:tc>
              <w:tc>
                <w:tcPr>
                  <w:tcW w:type="dxa" w:w="851"/>
                </w:tcPr>
                <w:p>
                  <w:pPr>
                    <w:pStyle w:val="null3"/>
                  </w:pPr>
                  <w:r>
                    <w:rPr>
                      <w:rFonts w:ascii="仿宋_GB2312" w:hAnsi="仿宋_GB2312" w:cs="仿宋_GB2312" w:eastAsia="仿宋_GB2312"/>
                    </w:rPr>
                    <w:t>不可否认性</w:t>
                  </w:r>
                </w:p>
              </w:tc>
              <w:tc>
                <w:tcPr>
                  <w:tcW w:type="dxa" w:w="851"/>
                </w:tcPr>
                <w:p>
                  <w:pPr>
                    <w:pStyle w:val="null3"/>
                  </w:pPr>
                  <w:r>
                    <w:rPr>
                      <w:rFonts w:ascii="仿宋_GB2312" w:hAnsi="仿宋_GB2312" w:cs="仿宋_GB2312" w:eastAsia="仿宋_GB2312"/>
                    </w:rPr>
                    <w:t>在可能涉及法律责任认定的应用中，宜采用密码技术提供数据原发证据和数据接收证据，实现数据原发行为的不可否认性和数据接收行为的不可否认性。</w:t>
                  </w:r>
                </w:p>
              </w:tc>
            </w:tr>
            <w:tr>
              <w:tc>
                <w:tcPr>
                  <w:tcW w:type="dxa" w:w="851"/>
                  <w:vMerge w:val="restart"/>
                </w:tcPr>
                <w:p>
                  <w:pPr>
                    <w:pStyle w:val="null3"/>
                  </w:pPr>
                  <w:r>
                    <w:rPr>
                      <w:rFonts w:ascii="仿宋_GB2312" w:hAnsi="仿宋_GB2312" w:cs="仿宋_GB2312" w:eastAsia="仿宋_GB2312"/>
                    </w:rPr>
                    <w:t>管理制度</w:t>
                  </w:r>
                </w:p>
              </w:tc>
              <w:tc>
                <w:tcPr>
                  <w:tcW w:type="dxa" w:w="851"/>
                </w:tcPr>
                <w:p>
                  <w:pPr>
                    <w:pStyle w:val="null3"/>
                  </w:pPr>
                  <w:r>
                    <w:rPr>
                      <w:rFonts w:ascii="仿宋_GB2312" w:hAnsi="仿宋_GB2312" w:cs="仿宋_GB2312" w:eastAsia="仿宋_GB2312"/>
                    </w:rPr>
                    <w:t>具备密码应用安全管理制度</w:t>
                  </w:r>
                </w:p>
              </w:tc>
              <w:tc>
                <w:tcPr>
                  <w:tcW w:type="dxa" w:w="851"/>
                </w:tcPr>
                <w:p>
                  <w:pPr>
                    <w:pStyle w:val="null3"/>
                  </w:pPr>
                  <w:r>
                    <w:rPr>
                      <w:rFonts w:ascii="仿宋_GB2312" w:hAnsi="仿宋_GB2312" w:cs="仿宋_GB2312" w:eastAsia="仿宋_GB2312"/>
                    </w:rPr>
                    <w:t>应具备密码应用安全管理制度，包括密码人员管理、密钥管理、建设运行、应急处置、密码软硬件及介质管理等制度；</w:t>
                  </w:r>
                </w:p>
              </w:tc>
            </w:tr>
            <w:tr>
              <w:tc>
                <w:tcPr>
                  <w:tcW w:type="dxa" w:w="851"/>
                  <w:vMerge/>
                </w:tcPr>
                <w:p/>
              </w:tc>
              <w:tc>
                <w:tcPr>
                  <w:tcW w:type="dxa" w:w="851"/>
                </w:tcPr>
                <w:p>
                  <w:pPr>
                    <w:pStyle w:val="null3"/>
                  </w:pPr>
                  <w:r>
                    <w:rPr>
                      <w:rFonts w:ascii="仿宋_GB2312" w:hAnsi="仿宋_GB2312" w:cs="仿宋_GB2312" w:eastAsia="仿宋_GB2312"/>
                    </w:rPr>
                    <w:t>密钥管理规则</w:t>
                  </w:r>
                </w:p>
              </w:tc>
              <w:tc>
                <w:tcPr>
                  <w:tcW w:type="dxa" w:w="851"/>
                </w:tcPr>
                <w:p>
                  <w:pPr>
                    <w:pStyle w:val="null3"/>
                  </w:pPr>
                  <w:r>
                    <w:rPr>
                      <w:rFonts w:ascii="仿宋_GB2312" w:hAnsi="仿宋_GB2312" w:cs="仿宋_GB2312" w:eastAsia="仿宋_GB2312"/>
                    </w:rPr>
                    <w:t>应根据密码应用方案建立相应密钥管理规则；</w:t>
                  </w:r>
                </w:p>
              </w:tc>
            </w:tr>
            <w:tr>
              <w:tc>
                <w:tcPr>
                  <w:tcW w:type="dxa" w:w="851"/>
                  <w:vMerge/>
                </w:tcPr>
                <w:p/>
              </w:tc>
              <w:tc>
                <w:tcPr>
                  <w:tcW w:type="dxa" w:w="851"/>
                </w:tcPr>
                <w:p>
                  <w:pPr>
                    <w:pStyle w:val="null3"/>
                  </w:pPr>
                  <w:r>
                    <w:rPr>
                      <w:rFonts w:ascii="仿宋_GB2312" w:hAnsi="仿宋_GB2312" w:cs="仿宋_GB2312" w:eastAsia="仿宋_GB2312"/>
                    </w:rPr>
                    <w:t>建立操作规程</w:t>
                  </w:r>
                </w:p>
              </w:tc>
              <w:tc>
                <w:tcPr>
                  <w:tcW w:type="dxa" w:w="851"/>
                </w:tcPr>
                <w:p>
                  <w:pPr>
                    <w:pStyle w:val="null3"/>
                  </w:pPr>
                  <w:r>
                    <w:rPr>
                      <w:rFonts w:ascii="仿宋_GB2312" w:hAnsi="仿宋_GB2312" w:cs="仿宋_GB2312" w:eastAsia="仿宋_GB2312"/>
                    </w:rPr>
                    <w:t>应对管理人员或操作人员执行的日常管理操作建立操作规程；</w:t>
                  </w:r>
                </w:p>
              </w:tc>
            </w:tr>
            <w:tr>
              <w:tc>
                <w:tcPr>
                  <w:tcW w:type="dxa" w:w="851"/>
                  <w:vMerge/>
                </w:tcPr>
                <w:p/>
              </w:tc>
              <w:tc>
                <w:tcPr>
                  <w:tcW w:type="dxa" w:w="851"/>
                </w:tcPr>
                <w:p>
                  <w:pPr>
                    <w:pStyle w:val="null3"/>
                  </w:pPr>
                  <w:r>
                    <w:rPr>
                      <w:rFonts w:ascii="仿宋_GB2312" w:hAnsi="仿宋_GB2312" w:cs="仿宋_GB2312" w:eastAsia="仿宋_GB2312"/>
                    </w:rPr>
                    <w:t>定期修订安全管理制度</w:t>
                  </w:r>
                </w:p>
              </w:tc>
              <w:tc>
                <w:tcPr>
                  <w:tcW w:type="dxa" w:w="851"/>
                </w:tcPr>
                <w:p>
                  <w:pPr>
                    <w:pStyle w:val="null3"/>
                  </w:pPr>
                  <w:r>
                    <w:rPr>
                      <w:rFonts w:ascii="仿宋_GB2312" w:hAnsi="仿宋_GB2312" w:cs="仿宋_GB2312" w:eastAsia="仿宋_GB2312"/>
                    </w:rPr>
                    <w:t>应定期对密码应用安全管理制度和操作规程的合理性和适用性进行论证和审定，对存在不足或需要改进之处进行修订；</w:t>
                  </w:r>
                </w:p>
              </w:tc>
            </w:tr>
            <w:tr>
              <w:tc>
                <w:tcPr>
                  <w:tcW w:type="dxa" w:w="851"/>
                  <w:vMerge/>
                </w:tcPr>
                <w:p/>
              </w:tc>
              <w:tc>
                <w:tcPr>
                  <w:tcW w:type="dxa" w:w="851"/>
                </w:tcPr>
                <w:p>
                  <w:pPr>
                    <w:pStyle w:val="null3"/>
                  </w:pPr>
                  <w:r>
                    <w:rPr>
                      <w:rFonts w:ascii="仿宋_GB2312" w:hAnsi="仿宋_GB2312" w:cs="仿宋_GB2312" w:eastAsia="仿宋_GB2312"/>
                    </w:rPr>
                    <w:t>明确管理制度发布流程</w:t>
                  </w:r>
                </w:p>
              </w:tc>
              <w:tc>
                <w:tcPr>
                  <w:tcW w:type="dxa" w:w="851"/>
                </w:tcPr>
                <w:p>
                  <w:pPr>
                    <w:pStyle w:val="null3"/>
                  </w:pPr>
                  <w:r>
                    <w:rPr>
                      <w:rFonts w:ascii="仿宋_GB2312" w:hAnsi="仿宋_GB2312" w:cs="仿宋_GB2312" w:eastAsia="仿宋_GB2312"/>
                    </w:rPr>
                    <w:t>应明确相关密码应用安全管理制度和操作规程的发布流程并进行版本控制；</w:t>
                  </w:r>
                </w:p>
              </w:tc>
            </w:tr>
            <w:tr>
              <w:tc>
                <w:tcPr>
                  <w:tcW w:type="dxa" w:w="851"/>
                  <w:vMerge/>
                </w:tcPr>
                <w:p/>
              </w:tc>
              <w:tc>
                <w:tcPr>
                  <w:tcW w:type="dxa" w:w="851"/>
                </w:tcPr>
                <w:p>
                  <w:pPr>
                    <w:pStyle w:val="null3"/>
                  </w:pPr>
                  <w:r>
                    <w:rPr>
                      <w:rFonts w:ascii="仿宋_GB2312" w:hAnsi="仿宋_GB2312" w:cs="仿宋_GB2312" w:eastAsia="仿宋_GB2312"/>
                    </w:rPr>
                    <w:t>制度执行过程记录留存</w:t>
                  </w:r>
                </w:p>
              </w:tc>
              <w:tc>
                <w:tcPr>
                  <w:tcW w:type="dxa" w:w="851"/>
                </w:tcPr>
                <w:p>
                  <w:pPr>
                    <w:pStyle w:val="null3"/>
                  </w:pPr>
                  <w:r>
                    <w:rPr>
                      <w:rFonts w:ascii="仿宋_GB2312" w:hAnsi="仿宋_GB2312" w:cs="仿宋_GB2312" w:eastAsia="仿宋_GB2312"/>
                    </w:rPr>
                    <w:t>应具有密码应用操作规程的相关执行记录并妥善保存。</w:t>
                  </w:r>
                </w:p>
              </w:tc>
            </w:tr>
            <w:tr>
              <w:tc>
                <w:tcPr>
                  <w:tcW w:type="dxa" w:w="851"/>
                  <w:vMerge w:val="restart"/>
                </w:tcPr>
                <w:p>
                  <w:pPr>
                    <w:pStyle w:val="null3"/>
                  </w:pPr>
                  <w:r>
                    <w:rPr>
                      <w:rFonts w:ascii="仿宋_GB2312" w:hAnsi="仿宋_GB2312" w:cs="仿宋_GB2312" w:eastAsia="仿宋_GB2312"/>
                    </w:rPr>
                    <w:t>人员管理</w:t>
                  </w:r>
                </w:p>
              </w:tc>
              <w:tc>
                <w:tcPr>
                  <w:tcW w:type="dxa" w:w="851"/>
                </w:tcPr>
                <w:p>
                  <w:pPr>
                    <w:pStyle w:val="null3"/>
                  </w:pPr>
                  <w:r>
                    <w:rPr>
                      <w:rFonts w:ascii="仿宋_GB2312" w:hAnsi="仿宋_GB2312" w:cs="仿宋_GB2312" w:eastAsia="仿宋_GB2312"/>
                    </w:rPr>
                    <w:t>了解并遵守密码相关法律法规和密码管理制度</w:t>
                  </w:r>
                </w:p>
              </w:tc>
              <w:tc>
                <w:tcPr>
                  <w:tcW w:type="dxa" w:w="851"/>
                </w:tcPr>
                <w:p>
                  <w:pPr>
                    <w:pStyle w:val="null3"/>
                  </w:pPr>
                  <w:r>
                    <w:rPr>
                      <w:rFonts w:ascii="仿宋_GB2312" w:hAnsi="仿宋_GB2312" w:cs="仿宋_GB2312" w:eastAsia="仿宋_GB2312"/>
                    </w:rPr>
                    <w:t>相关人员应了解并遵守密码相关法律法规、密码应用安全管理制度；</w:t>
                  </w:r>
                </w:p>
              </w:tc>
            </w:tr>
            <w:tr>
              <w:tc>
                <w:tcPr>
                  <w:tcW w:type="dxa" w:w="851"/>
                  <w:vMerge/>
                </w:tcPr>
                <w:p/>
              </w:tc>
              <w:tc>
                <w:tcPr>
                  <w:tcW w:type="dxa" w:w="851"/>
                  <w:vMerge w:val="restart"/>
                </w:tcPr>
                <w:p>
                  <w:pPr>
                    <w:pStyle w:val="null3"/>
                  </w:pPr>
                  <w:r>
                    <w:rPr>
                      <w:rFonts w:ascii="仿宋_GB2312" w:hAnsi="仿宋_GB2312" w:cs="仿宋_GB2312" w:eastAsia="仿宋_GB2312"/>
                    </w:rPr>
                    <w:t>建立密码应用岗位责任制度</w:t>
                  </w:r>
                </w:p>
              </w:tc>
              <w:tc>
                <w:tcPr>
                  <w:tcW w:type="dxa" w:w="851"/>
                </w:tcPr>
                <w:p>
                  <w:pPr>
                    <w:pStyle w:val="null3"/>
                  </w:pPr>
                  <w:r>
                    <w:rPr>
                      <w:rFonts w:ascii="仿宋_GB2312" w:hAnsi="仿宋_GB2312" w:cs="仿宋_GB2312" w:eastAsia="仿宋_GB2312"/>
                    </w:rPr>
                    <w:t>应建立密码应用岗位责任制度，明确各岗位在安全系统中的职责和权限：</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1)根据密码应用的实际情况，设置密钥管理员、密码安全审计员、密码操作员等关键安全岗位；</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2)对关键岗位建立多人共管机制；</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3)密钥管理、密码安全审计、密码操作人员职责互相制约互相监督，其中密码安全审计员岗位不可与密钥管理员、密码操作员兼任；</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4)相关设备与系统的管理和使用账号不得多人共用。</w:t>
                  </w:r>
                </w:p>
              </w:tc>
            </w:tr>
            <w:tr>
              <w:tc>
                <w:tcPr>
                  <w:tcW w:type="dxa" w:w="851"/>
                  <w:vMerge/>
                </w:tcPr>
                <w:p/>
              </w:tc>
              <w:tc>
                <w:tcPr>
                  <w:tcW w:type="dxa" w:w="851"/>
                </w:tcPr>
                <w:p>
                  <w:pPr>
                    <w:pStyle w:val="null3"/>
                  </w:pPr>
                  <w:r>
                    <w:rPr>
                      <w:rFonts w:ascii="仿宋_GB2312" w:hAnsi="仿宋_GB2312" w:cs="仿宋_GB2312" w:eastAsia="仿宋_GB2312"/>
                    </w:rPr>
                    <w:t>建立上岗人员培训制度</w:t>
                  </w:r>
                </w:p>
              </w:tc>
              <w:tc>
                <w:tcPr>
                  <w:tcW w:type="dxa" w:w="851"/>
                </w:tcPr>
                <w:p>
                  <w:pPr>
                    <w:pStyle w:val="null3"/>
                  </w:pPr>
                  <w:r>
                    <w:rPr>
                      <w:rFonts w:ascii="仿宋_GB2312" w:hAnsi="仿宋_GB2312" w:cs="仿宋_GB2312" w:eastAsia="仿宋_GB2312"/>
                    </w:rPr>
                    <w:t>应建立上岗人员培训制度，对于涉及密码的操作和管理的人员进行专门培训，确保其具备岗位所需专业技能；</w:t>
                  </w:r>
                </w:p>
              </w:tc>
            </w:tr>
            <w:tr>
              <w:tc>
                <w:tcPr>
                  <w:tcW w:type="dxa" w:w="851"/>
                  <w:vMerge/>
                </w:tcPr>
                <w:p/>
              </w:tc>
              <w:tc>
                <w:tcPr>
                  <w:tcW w:type="dxa" w:w="851"/>
                </w:tcPr>
                <w:p>
                  <w:pPr>
                    <w:pStyle w:val="null3"/>
                  </w:pPr>
                  <w:r>
                    <w:rPr>
                      <w:rFonts w:ascii="仿宋_GB2312" w:hAnsi="仿宋_GB2312" w:cs="仿宋_GB2312" w:eastAsia="仿宋_GB2312"/>
                    </w:rPr>
                    <w:t>定期进行安全岗位人员考核</w:t>
                  </w:r>
                </w:p>
              </w:tc>
              <w:tc>
                <w:tcPr>
                  <w:tcW w:type="dxa" w:w="851"/>
                </w:tcPr>
                <w:p>
                  <w:pPr>
                    <w:pStyle w:val="null3"/>
                  </w:pPr>
                  <w:r>
                    <w:rPr>
                      <w:rFonts w:ascii="仿宋_GB2312" w:hAnsi="仿宋_GB2312" w:cs="仿宋_GB2312" w:eastAsia="仿宋_GB2312"/>
                    </w:rPr>
                    <w:t>应定期对密码应用安全岗位人员进行考核；</w:t>
                  </w:r>
                </w:p>
              </w:tc>
            </w:tr>
            <w:tr>
              <w:tc>
                <w:tcPr>
                  <w:tcW w:type="dxa" w:w="851"/>
                  <w:vMerge/>
                </w:tcPr>
                <w:p/>
              </w:tc>
              <w:tc>
                <w:tcPr>
                  <w:tcW w:type="dxa" w:w="851"/>
                </w:tcPr>
                <w:p>
                  <w:pPr>
                    <w:pStyle w:val="null3"/>
                  </w:pPr>
                  <w:r>
                    <w:rPr>
                      <w:rFonts w:ascii="仿宋_GB2312" w:hAnsi="仿宋_GB2312" w:cs="仿宋_GB2312" w:eastAsia="仿宋_GB2312"/>
                    </w:rPr>
                    <w:t>建立关键岗位人员保密制度和调离制度</w:t>
                  </w:r>
                </w:p>
              </w:tc>
              <w:tc>
                <w:tcPr>
                  <w:tcW w:type="dxa" w:w="851"/>
                </w:tcPr>
                <w:p>
                  <w:pPr>
                    <w:pStyle w:val="null3"/>
                  </w:pPr>
                  <w:r>
                    <w:rPr>
                      <w:rFonts w:ascii="仿宋_GB2312" w:hAnsi="仿宋_GB2312" w:cs="仿宋_GB2312" w:eastAsia="仿宋_GB2312"/>
                    </w:rPr>
                    <w:t>应建立关键人员保密制度和调离制度，签订保密合同，承担保密义务。</w:t>
                  </w:r>
                </w:p>
              </w:tc>
            </w:tr>
            <w:tr>
              <w:tc>
                <w:tcPr>
                  <w:tcW w:type="dxa" w:w="851"/>
                  <w:vMerge w:val="restart"/>
                </w:tcPr>
                <w:p>
                  <w:pPr>
                    <w:pStyle w:val="null3"/>
                  </w:pPr>
                  <w:r>
                    <w:rPr>
                      <w:rFonts w:ascii="仿宋_GB2312" w:hAnsi="仿宋_GB2312" w:cs="仿宋_GB2312" w:eastAsia="仿宋_GB2312"/>
                    </w:rPr>
                    <w:t>建设运行</w:t>
                  </w:r>
                </w:p>
              </w:tc>
              <w:tc>
                <w:tcPr>
                  <w:tcW w:type="dxa" w:w="851"/>
                </w:tcPr>
                <w:p>
                  <w:pPr>
                    <w:pStyle w:val="null3"/>
                  </w:pPr>
                  <w:r>
                    <w:rPr>
                      <w:rFonts w:ascii="仿宋_GB2312" w:hAnsi="仿宋_GB2312" w:cs="仿宋_GB2312" w:eastAsia="仿宋_GB2312"/>
                    </w:rPr>
                    <w:t>制定密码应用方案</w:t>
                  </w:r>
                </w:p>
              </w:tc>
              <w:tc>
                <w:tcPr>
                  <w:tcW w:type="dxa" w:w="851"/>
                </w:tcPr>
                <w:p>
                  <w:pPr>
                    <w:pStyle w:val="null3"/>
                  </w:pPr>
                  <w:r>
                    <w:rPr>
                      <w:rFonts w:ascii="仿宋_GB2312" w:hAnsi="仿宋_GB2312" w:cs="仿宋_GB2312" w:eastAsia="仿宋_GB2312"/>
                    </w:rPr>
                    <w:t>应依据密码相关标准和密码应用需求，制定密码应用方案；</w:t>
                  </w:r>
                </w:p>
              </w:tc>
            </w:tr>
            <w:tr>
              <w:tc>
                <w:tcPr>
                  <w:tcW w:type="dxa" w:w="851"/>
                  <w:vMerge/>
                </w:tcPr>
                <w:p/>
              </w:tc>
              <w:tc>
                <w:tcPr>
                  <w:tcW w:type="dxa" w:w="851"/>
                </w:tcPr>
                <w:p>
                  <w:pPr>
                    <w:pStyle w:val="null3"/>
                  </w:pPr>
                  <w:r>
                    <w:rPr>
                      <w:rFonts w:ascii="仿宋_GB2312" w:hAnsi="仿宋_GB2312" w:cs="仿宋_GB2312" w:eastAsia="仿宋_GB2312"/>
                    </w:rPr>
                    <w:t>制定密钥安全管理策略</w:t>
                  </w:r>
                </w:p>
              </w:tc>
              <w:tc>
                <w:tcPr>
                  <w:tcW w:type="dxa" w:w="851"/>
                </w:tcPr>
                <w:p>
                  <w:pPr>
                    <w:pStyle w:val="null3"/>
                  </w:pPr>
                  <w:r>
                    <w:rPr>
                      <w:rFonts w:ascii="仿宋_GB2312" w:hAnsi="仿宋_GB2312" w:cs="仿宋_GB2312" w:eastAsia="仿宋_GB2312"/>
                    </w:rPr>
                    <w:t>应根据密码应用方案，确定系统涉及的密钥种类、体系及其生命周期环节。</w:t>
                  </w:r>
                </w:p>
              </w:tc>
            </w:tr>
            <w:tr>
              <w:tc>
                <w:tcPr>
                  <w:tcW w:type="dxa" w:w="851"/>
                  <w:vMerge/>
                </w:tcPr>
                <w:p/>
              </w:tc>
              <w:tc>
                <w:tcPr>
                  <w:tcW w:type="dxa" w:w="851"/>
                </w:tcPr>
                <w:p>
                  <w:pPr>
                    <w:pStyle w:val="null3"/>
                  </w:pPr>
                  <w:r>
                    <w:rPr>
                      <w:rFonts w:ascii="仿宋_GB2312" w:hAnsi="仿宋_GB2312" w:cs="仿宋_GB2312" w:eastAsia="仿宋_GB2312"/>
                    </w:rPr>
                    <w:t>制定实施方案</w:t>
                  </w:r>
                </w:p>
              </w:tc>
              <w:tc>
                <w:tcPr>
                  <w:tcW w:type="dxa" w:w="851"/>
                </w:tcPr>
                <w:p>
                  <w:pPr>
                    <w:pStyle w:val="null3"/>
                  </w:pPr>
                  <w:r>
                    <w:rPr>
                      <w:rFonts w:ascii="仿宋_GB2312" w:hAnsi="仿宋_GB2312" w:cs="仿宋_GB2312" w:eastAsia="仿宋_GB2312"/>
                    </w:rPr>
                    <w:t>应按照应用方案实施建设；</w:t>
                  </w:r>
                </w:p>
              </w:tc>
            </w:tr>
            <w:tr>
              <w:tc>
                <w:tcPr>
                  <w:tcW w:type="dxa" w:w="851"/>
                  <w:vMerge/>
                </w:tcPr>
                <w:p/>
              </w:tc>
              <w:tc>
                <w:tcPr>
                  <w:tcW w:type="dxa" w:w="851"/>
                </w:tcPr>
                <w:p>
                  <w:pPr>
                    <w:pStyle w:val="null3"/>
                  </w:pPr>
                  <w:r>
                    <w:rPr>
                      <w:rFonts w:ascii="仿宋_GB2312" w:hAnsi="仿宋_GB2312" w:cs="仿宋_GB2312" w:eastAsia="仿宋_GB2312"/>
                    </w:rPr>
                    <w:t>投入运行前进行密码应用安全性评估</w:t>
                  </w:r>
                </w:p>
              </w:tc>
              <w:tc>
                <w:tcPr>
                  <w:tcW w:type="dxa" w:w="851"/>
                </w:tcPr>
                <w:p>
                  <w:pPr>
                    <w:pStyle w:val="null3"/>
                  </w:pPr>
                  <w:r>
                    <w:rPr>
                      <w:rFonts w:ascii="仿宋_GB2312" w:hAnsi="仿宋_GB2312" w:cs="仿宋_GB2312" w:eastAsia="仿宋_GB2312"/>
                    </w:rPr>
                    <w:t>投入运行前应进行密码应用安全性评估，评估通过后系统方可正式运行；</w:t>
                  </w:r>
                </w:p>
              </w:tc>
            </w:tr>
            <w:tr>
              <w:tc>
                <w:tcPr>
                  <w:tcW w:type="dxa" w:w="851"/>
                  <w:vMerge/>
                </w:tcPr>
                <w:p/>
              </w:tc>
              <w:tc>
                <w:tcPr>
                  <w:tcW w:type="dxa" w:w="851"/>
                </w:tcPr>
                <w:p>
                  <w:pPr>
                    <w:pStyle w:val="null3"/>
                  </w:pPr>
                  <w:r>
                    <w:rPr>
                      <w:rFonts w:ascii="仿宋_GB2312" w:hAnsi="仿宋_GB2312" w:cs="仿宋_GB2312" w:eastAsia="仿宋_GB2312"/>
                    </w:rPr>
                    <w:t>定期开展密码应用安全性评估及攻防对抗演习</w:t>
                  </w:r>
                </w:p>
              </w:tc>
              <w:tc>
                <w:tcPr>
                  <w:tcW w:type="dxa" w:w="851"/>
                </w:tcPr>
                <w:p>
                  <w:pPr>
                    <w:pStyle w:val="null3"/>
                  </w:pPr>
                  <w:r>
                    <w:rPr>
                      <w:rFonts w:ascii="仿宋_GB2312" w:hAnsi="仿宋_GB2312" w:cs="仿宋_GB2312" w:eastAsia="仿宋_GB2312"/>
                    </w:rPr>
                    <w:t>在运行过程中，应严格执行既定的密码应用安全管理制度，应定期开展密码应用安全性评估及攻防对抗演习，并根据评估结果进行整改。</w:t>
                  </w:r>
                </w:p>
              </w:tc>
            </w:tr>
            <w:tr>
              <w:tc>
                <w:tcPr>
                  <w:tcW w:type="dxa" w:w="851"/>
                  <w:vMerge w:val="restart"/>
                </w:tcPr>
                <w:p>
                  <w:pPr>
                    <w:pStyle w:val="null3"/>
                  </w:pPr>
                  <w:r>
                    <w:rPr>
                      <w:rFonts w:ascii="仿宋_GB2312" w:hAnsi="仿宋_GB2312" w:cs="仿宋_GB2312" w:eastAsia="仿宋_GB2312"/>
                    </w:rPr>
                    <w:t>应急处置</w:t>
                  </w:r>
                </w:p>
              </w:tc>
              <w:tc>
                <w:tcPr>
                  <w:tcW w:type="dxa" w:w="851"/>
                </w:tcPr>
                <w:p>
                  <w:pPr>
                    <w:pStyle w:val="null3"/>
                  </w:pPr>
                  <w:r>
                    <w:rPr>
                      <w:rFonts w:ascii="仿宋_GB2312" w:hAnsi="仿宋_GB2312" w:cs="仿宋_GB2312" w:eastAsia="仿宋_GB2312"/>
                    </w:rPr>
                    <w:t>应急策略</w:t>
                  </w:r>
                </w:p>
              </w:tc>
              <w:tc>
                <w:tcPr>
                  <w:tcW w:type="dxa" w:w="851"/>
                </w:tcPr>
                <w:p>
                  <w:pPr>
                    <w:pStyle w:val="null3"/>
                  </w:pPr>
                  <w:r>
                    <w:rPr>
                      <w:rFonts w:ascii="仿宋_GB2312" w:hAnsi="仿宋_GB2312" w:cs="仿宋_GB2312" w:eastAsia="仿宋_GB2312"/>
                    </w:rPr>
                    <w:t>应制定密码应用应急策略，做好应急资源准备，当密码应用安全事件发生时，应立即启动应急处置措施，结合实际情况及时处置；</w:t>
                  </w:r>
                </w:p>
              </w:tc>
            </w:tr>
            <w:tr>
              <w:tc>
                <w:tcPr>
                  <w:tcW w:type="dxa" w:w="851"/>
                  <w:vMerge/>
                </w:tcPr>
                <w:p/>
              </w:tc>
              <w:tc>
                <w:tcPr>
                  <w:tcW w:type="dxa" w:w="851"/>
                </w:tcPr>
                <w:p>
                  <w:pPr>
                    <w:pStyle w:val="null3"/>
                  </w:pPr>
                  <w:r>
                    <w:rPr>
                      <w:rFonts w:ascii="仿宋_GB2312" w:hAnsi="仿宋_GB2312" w:cs="仿宋_GB2312" w:eastAsia="仿宋_GB2312"/>
                    </w:rPr>
                    <w:t>事件处置</w:t>
                  </w:r>
                </w:p>
              </w:tc>
              <w:tc>
                <w:tcPr>
                  <w:tcW w:type="dxa" w:w="851"/>
                </w:tcPr>
                <w:p>
                  <w:pPr>
                    <w:pStyle w:val="null3"/>
                  </w:pPr>
                  <w:r>
                    <w:rPr>
                      <w:rFonts w:ascii="仿宋_GB2312" w:hAnsi="仿宋_GB2312" w:cs="仿宋_GB2312" w:eastAsia="仿宋_GB2312"/>
                    </w:rPr>
                    <w:t>事件发生后，应及时向信息系统主管部门进行报告；</w:t>
                  </w:r>
                </w:p>
              </w:tc>
            </w:tr>
            <w:tr>
              <w:tc>
                <w:tcPr>
                  <w:tcW w:type="dxa" w:w="851"/>
                  <w:vMerge/>
                </w:tcPr>
                <w:p/>
              </w:tc>
              <w:tc>
                <w:tcPr>
                  <w:tcW w:type="dxa" w:w="851"/>
                </w:tcPr>
                <w:p>
                  <w:pPr>
                    <w:pStyle w:val="null3"/>
                  </w:pPr>
                  <w:r>
                    <w:rPr>
                      <w:rFonts w:ascii="仿宋_GB2312" w:hAnsi="仿宋_GB2312" w:cs="仿宋_GB2312" w:eastAsia="仿宋_GB2312"/>
                    </w:rPr>
                    <w:t>向有关主管部门上报处置情况</w:t>
                  </w:r>
                </w:p>
              </w:tc>
              <w:tc>
                <w:tcPr>
                  <w:tcW w:type="dxa" w:w="851"/>
                </w:tcPr>
                <w:p>
                  <w:pPr>
                    <w:pStyle w:val="null3"/>
                  </w:pPr>
                  <w:r>
                    <w:rPr>
                      <w:rFonts w:ascii="仿宋_GB2312" w:hAnsi="仿宋_GB2312" w:cs="仿宋_GB2312" w:eastAsia="仿宋_GB2312"/>
                    </w:rPr>
                    <w:t>事件处置完成后，应及时向信息系统主管部门及归属的密码管理部门报告事件发生情况及处置情况。</w:t>
                  </w:r>
                </w:p>
              </w:tc>
            </w:tr>
          </w:tbl>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4.1技术要求</w:t>
            </w:r>
          </w:p>
          <w:p>
            <w:pPr>
              <w:pStyle w:val="null3"/>
            </w:pPr>
            <w:r>
              <w:rPr>
                <w:rFonts w:ascii="仿宋_GB2312" w:hAnsi="仿宋_GB2312" w:cs="仿宋_GB2312" w:eastAsia="仿宋_GB2312"/>
              </w:rPr>
              <w:t>测评机构按照GB/T39786-2021《信息安全技术 信息系统密码应用基本要求》、GB/T43206-2023《信息安全技术信息系统密码应用测评要求》等密评标准对系统进行评估，密码应用测评须满足合规性、正确性、有效性。</w:t>
            </w:r>
          </w:p>
          <w:p>
            <w:pPr>
              <w:pStyle w:val="null3"/>
            </w:pPr>
            <w:r>
              <w:rPr>
                <w:rFonts w:ascii="仿宋_GB2312" w:hAnsi="仿宋_GB2312" w:cs="仿宋_GB2312" w:eastAsia="仿宋_GB2312"/>
              </w:rPr>
              <w:t>合规性，指信息系统中的密码算法、密码协议、密钥管理、密码产品和服务使用合规；使用符合国家密码法规和标准规定的商用密码算法，使用经检测认证合格的商用密码产品或服务。</w:t>
            </w:r>
          </w:p>
          <w:p>
            <w:pPr>
              <w:pStyle w:val="null3"/>
            </w:pPr>
            <w:r>
              <w:rPr>
                <w:rFonts w:ascii="仿宋_GB2312" w:hAnsi="仿宋_GB2312" w:cs="仿宋_GB2312" w:eastAsia="仿宋_GB2312"/>
              </w:rPr>
              <w:t>正确性，指信息系统中的密码算法、密码协议、密钥管理、密码产品和服务使用正确。即釆用的密码算法、协议和密钥管理机制按照相应的密码国家和行业标准进行正确的设计和实现；密码保障系统建设或改造过程中密码产品和服务的部署和应用正确。</w:t>
            </w:r>
          </w:p>
          <w:p>
            <w:pPr>
              <w:pStyle w:val="null3"/>
            </w:pPr>
            <w:r>
              <w:rPr>
                <w:rFonts w:ascii="仿宋_GB2312" w:hAnsi="仿宋_GB2312" w:cs="仿宋_GB2312" w:eastAsia="仿宋_GB2312"/>
              </w:rPr>
              <w:t>有效性，指信息系统釆用的密码协议、密钥管理系统、密码应用子系统和密码安全防护机制不仅设计合理，而且在系统运行过程中能够发挥密码效用，保障信息的机密性、完整性、真实性、抗抵赖性。</w:t>
            </w:r>
          </w:p>
          <w:p>
            <w:pPr>
              <w:pStyle w:val="null3"/>
            </w:pPr>
            <w:r>
              <w:rPr>
                <w:rFonts w:ascii="仿宋_GB2312" w:hAnsi="仿宋_GB2312" w:cs="仿宋_GB2312" w:eastAsia="仿宋_GB2312"/>
              </w:rPr>
              <w:t>4.2进度要求</w:t>
            </w:r>
          </w:p>
          <w:p>
            <w:pPr>
              <w:pStyle w:val="null3"/>
            </w:pPr>
            <w:r>
              <w:rPr>
                <w:rFonts w:ascii="仿宋_GB2312" w:hAnsi="仿宋_GB2312" w:cs="仿宋_GB2312" w:eastAsia="仿宋_GB2312"/>
              </w:rPr>
              <w:t>4.2.1进度管理</w:t>
            </w:r>
          </w:p>
          <w:p>
            <w:pPr>
              <w:pStyle w:val="null3"/>
            </w:pPr>
            <w:r>
              <w:rPr>
                <w:rFonts w:ascii="仿宋_GB2312" w:hAnsi="仿宋_GB2312" w:cs="仿宋_GB2312" w:eastAsia="仿宋_GB2312"/>
              </w:rPr>
              <w:t>（1）合同签订后，在被评测系统竣工验收前30天完成交付。</w:t>
            </w:r>
          </w:p>
          <w:p>
            <w:pPr>
              <w:pStyle w:val="null3"/>
            </w:pPr>
            <w:r>
              <w:rPr>
                <w:rFonts w:ascii="仿宋_GB2312" w:hAnsi="仿宋_GB2312" w:cs="仿宋_GB2312" w:eastAsia="仿宋_GB2312"/>
              </w:rPr>
              <w:t>（2）投标方应在所投标的技术方案书中提交详细的项目组织及实施规划，并且提交从合同签订之日起的周工作进度安排计划，须严格按照项目进度要求开展项目工作。</w:t>
            </w:r>
          </w:p>
          <w:p>
            <w:pPr>
              <w:pStyle w:val="null3"/>
            </w:pPr>
            <w:r>
              <w:rPr>
                <w:rFonts w:ascii="仿宋_GB2312" w:hAnsi="仿宋_GB2312" w:cs="仿宋_GB2312" w:eastAsia="仿宋_GB2312"/>
              </w:rPr>
              <w:t>（3）须严格按照项目阶段设计项目里程碑和里程碑产出物。</w:t>
            </w:r>
          </w:p>
          <w:p>
            <w:pPr>
              <w:pStyle w:val="null3"/>
            </w:pPr>
            <w:r>
              <w:rPr>
                <w:rFonts w:ascii="仿宋_GB2312" w:hAnsi="仿宋_GB2312" w:cs="仿宋_GB2312" w:eastAsia="仿宋_GB2312"/>
              </w:rPr>
              <w:t>（4）投标方须严格按照项目里程碑开展工作。招标方将根据里程碑和里程碑产出物审核投标方工作。</w:t>
            </w:r>
          </w:p>
          <w:p>
            <w:pPr>
              <w:pStyle w:val="null3"/>
            </w:pPr>
            <w:r>
              <w:rPr>
                <w:rFonts w:ascii="仿宋_GB2312" w:hAnsi="仿宋_GB2312" w:cs="仿宋_GB2312" w:eastAsia="仿宋_GB2312"/>
              </w:rPr>
              <w:t>（5）若由于投标方自身原因导致项目进度滞后于项目里程碑计划，招标方可根据合同要求追究投标方责任。</w:t>
            </w:r>
          </w:p>
          <w:p>
            <w:pPr>
              <w:pStyle w:val="null3"/>
            </w:pPr>
            <w:r>
              <w:rPr>
                <w:rFonts w:ascii="仿宋_GB2312" w:hAnsi="仿宋_GB2312" w:cs="仿宋_GB2312" w:eastAsia="仿宋_GB2312"/>
              </w:rPr>
              <w:t>4.2.2验收期限</w:t>
            </w:r>
          </w:p>
          <w:p>
            <w:pPr>
              <w:pStyle w:val="null3"/>
            </w:pPr>
            <w:r>
              <w:rPr>
                <w:rFonts w:ascii="仿宋_GB2312" w:hAnsi="仿宋_GB2312" w:cs="仿宋_GB2312" w:eastAsia="仿宋_GB2312"/>
              </w:rPr>
              <w:t>在合同生效之日起一年内，成果交付完成后60工作日内。</w:t>
            </w:r>
          </w:p>
          <w:p>
            <w:pPr>
              <w:pStyle w:val="null3"/>
            </w:pPr>
            <w:r>
              <w:rPr>
                <w:rFonts w:ascii="仿宋_GB2312" w:hAnsi="仿宋_GB2312" w:cs="仿宋_GB2312" w:eastAsia="仿宋_GB2312"/>
              </w:rPr>
              <w:t>4.2.3成果交付期限</w:t>
            </w:r>
          </w:p>
          <w:p>
            <w:pPr>
              <w:pStyle w:val="null3"/>
            </w:pPr>
            <w:r>
              <w:rPr>
                <w:rFonts w:ascii="仿宋_GB2312" w:hAnsi="仿宋_GB2312" w:cs="仿宋_GB2312" w:eastAsia="仿宋_GB2312"/>
              </w:rPr>
              <w:t>最晚在被评测系统竣工验收前30天完成交付。</w:t>
            </w:r>
          </w:p>
          <w:p>
            <w:pPr>
              <w:pStyle w:val="null3"/>
            </w:pPr>
            <w:r>
              <w:rPr>
                <w:rFonts w:ascii="仿宋_GB2312" w:hAnsi="仿宋_GB2312" w:cs="仿宋_GB2312" w:eastAsia="仿宋_GB2312"/>
              </w:rPr>
              <w:t>4.3.4交付地点</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5.验收标准和方式</w:t>
            </w:r>
          </w:p>
          <w:p>
            <w:pPr>
              <w:pStyle w:val="null3"/>
            </w:pPr>
            <w:r>
              <w:rPr>
                <w:rFonts w:ascii="仿宋_GB2312" w:hAnsi="仿宋_GB2312" w:cs="仿宋_GB2312" w:eastAsia="仿宋_GB2312"/>
              </w:rPr>
              <w:t>5.1验收标准</w:t>
            </w:r>
          </w:p>
          <w:p>
            <w:pPr>
              <w:pStyle w:val="null3"/>
            </w:pPr>
            <w:r>
              <w:rPr>
                <w:rFonts w:ascii="仿宋_GB2312" w:hAnsi="仿宋_GB2312" w:cs="仿宋_GB2312" w:eastAsia="仿宋_GB2312"/>
              </w:rPr>
              <w:t>（1）符合国家、省、市及行业相关标准。</w:t>
            </w:r>
          </w:p>
          <w:p>
            <w:pPr>
              <w:pStyle w:val="null3"/>
            </w:pPr>
            <w:r>
              <w:rPr>
                <w:rFonts w:ascii="仿宋_GB2312" w:hAnsi="仿宋_GB2312" w:cs="仿宋_GB2312" w:eastAsia="仿宋_GB2312"/>
              </w:rPr>
              <w:t>（2）符合采购文件中的相应技术要求。</w:t>
            </w:r>
          </w:p>
          <w:p>
            <w:pPr>
              <w:pStyle w:val="null3"/>
            </w:pPr>
            <w:r>
              <w:rPr>
                <w:rFonts w:ascii="仿宋_GB2312" w:hAnsi="仿宋_GB2312" w:cs="仿宋_GB2312" w:eastAsia="仿宋_GB2312"/>
              </w:rPr>
              <w:t>（3）符合项目实施过程中，双方约定的标准和要求。</w:t>
            </w:r>
          </w:p>
          <w:p>
            <w:pPr>
              <w:pStyle w:val="null3"/>
            </w:pPr>
            <w:r>
              <w:rPr>
                <w:rFonts w:ascii="仿宋_GB2312" w:hAnsi="仿宋_GB2312" w:cs="仿宋_GB2312" w:eastAsia="仿宋_GB2312"/>
              </w:rPr>
              <w:t>（4）验收标准包括但不限于：对各系统的各功能模块及性能指标做专业性的技术检验，并按照国产密码评估的要求开展工作，对各系统进行国产密码评估，满足上线要求，项目交付物齐全，提供被评估系统的商用密码应用安全性评估报告，并协助委托方取得系统的备案回执。</w:t>
            </w:r>
          </w:p>
          <w:p>
            <w:pPr>
              <w:pStyle w:val="null3"/>
            </w:pPr>
            <w:r>
              <w:rPr>
                <w:rFonts w:ascii="仿宋_GB2312" w:hAnsi="仿宋_GB2312" w:cs="仿宋_GB2312" w:eastAsia="仿宋_GB2312"/>
              </w:rPr>
              <w:t>5.2验收方式</w:t>
            </w:r>
          </w:p>
          <w:p>
            <w:pPr>
              <w:pStyle w:val="null3"/>
            </w:pPr>
            <w:r>
              <w:rPr>
                <w:rFonts w:ascii="仿宋_GB2312" w:hAnsi="仿宋_GB2312" w:cs="仿宋_GB2312" w:eastAsia="仿宋_GB2312"/>
              </w:rPr>
              <w:t>按照验收标准，由采购人组织专家进行验收，必要时，可邀请第三方机构进行验收。</w:t>
            </w:r>
          </w:p>
          <w:p>
            <w:pPr>
              <w:pStyle w:val="null3"/>
            </w:pPr>
            <w:r>
              <w:rPr>
                <w:rFonts w:ascii="仿宋_GB2312" w:hAnsi="仿宋_GB2312" w:cs="仿宋_GB2312" w:eastAsia="仿宋_GB2312"/>
              </w:rPr>
              <w:t>5.3验收合格条件</w:t>
            </w:r>
          </w:p>
          <w:p>
            <w:pPr>
              <w:pStyle w:val="null3"/>
            </w:pPr>
            <w:r>
              <w:rPr>
                <w:rFonts w:ascii="仿宋_GB2312" w:hAnsi="仿宋_GB2312" w:cs="仿宋_GB2312" w:eastAsia="仿宋_GB2312"/>
              </w:rPr>
              <w:t>符合国家标准和行业标准及合同要求，符合招标文件、供应商的投标文件、澄清文件和成交通知书的要求等,供应商应严格按照上述及采购人要求实施项目服务。注：供应商应保证交付的成果文件已参照已有的相关规划，并遵循中华人民共和国及地方的有关法律规范，并符合本项目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1.归档要求 供应商按照采购人关于项目归档的相关要求，在项目完成验收后的20个工作日内协助采购人完成项目成果资料的归档工作。 2.保密要求 （1）供应商须签订保密协议，对其因身份、职务、职业或技术关系而知悉的采购人商业秘密和党政机关保密信息应严格保守，保证不被披露或使用，包括意外或过失。 （2）供应商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供应商在从事政府项目时，不得擅自记录、复制、拍摄、摘抄、收藏在工作中涉及的保密信息，严禁将涉及政府项目的任何资料、数据透露或以其他方式提供给项目以外的其他方或供应商内部与该项目无关的任何人员。 （3）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 3.监理要求 在本项目开展过程中接受采购人通过采购确定的咨询监理机构的监理。 4.廉政要求 供应商与采购人签订廉政责任书。 5.其它约定 其他未涉及内容参照本项目采购文件中技术服务合同文本相应条款的约定执行。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合同签订后，在被评测系统竣工验收前30天完成交付。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 （1）符合国家、省、市及行业相关标准。 （2）符合采购文件中的相应技术要求。 （3）符合项目实施过程中，双方约定的标准和要求。 （4）验收标准包括但不限于：对各系统的各功能模块及性能指标做专业性的技术检验，并按照国产密码评估的要求开展工作，对各系统进行国产密码评估，满足上线要求，项目交付物齐全，提供被评估系统的商用密码应用安全性评估报告，并协助委托方取得系统的备案回执。 2.验收方式 按照验收标准，由采购人组织专家进行验收，必要时，可邀请第三方机构进行验收。 3.验收合格条件 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完成信息系统的商用密码应用安全性评估并取得密码管理部门系统备案回执后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2.供应商未按合同要求提供服务或服务质量不能满足技术要求，且在规定时间内未使采购人满意的，采购人有权解除合同，同时报请西安市财政局政府采购监管部门对其违约行为进行追究。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1.本项目通过电子化交易系统磋商，供应商需在电子化交易系统上传响应的文件。成交供应商领取成交通知书时，向采购代理机构提供一份正本纸质响应文件并签字盖章。 2.供应商应自磋商文件递交截止时间起至磋商结束，保持在线状态。 3.本项目专门面向中小企业采购，供应商应为中小微企业或监狱企业或残疾人福利性单位。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提供具有财务审计资质单位出具的2024年度经审计的完整有效财务报告或其基本账户银行出具的资信证明或财政部门认可的政府采购专业担保机构出具的担保函，以上形式的证明资料提供任何一种即可。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供应商须在国家密码管理局发布的《商用密码检测机构（商用密码应用安全性评估业务）目录》内或有效期内的资质证书，提供加盖公章的网站公告页面及目录复印件或资质证书复印件。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企业资质2</w:t>
            </w:r>
          </w:p>
        </w:tc>
        <w:tc>
          <w:tcPr>
            <w:tcW w:type="dxa" w:w="3322"/>
          </w:tcPr>
          <w:p>
            <w:pPr>
              <w:pStyle w:val="null3"/>
            </w:pPr>
            <w:r>
              <w:rPr>
                <w:rFonts w:ascii="仿宋_GB2312" w:hAnsi="仿宋_GB2312" w:cs="仿宋_GB2312" w:eastAsia="仿宋_GB2312"/>
              </w:rPr>
              <w:t>供应商须提供过去三年内无违反《商用密码管理条例》第16条、51条，《商用密码应用安全性评估管理办法》第11条，《商用密码检测机构管理办法》第21条规定的情形的证明材料，提供声明函或者省、市密码管理部门查询结果网页截图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本项目不接受联合体磋商，提供非联合磋商声明函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以下任意一项认证，得2分，最高得6分：（1）IS020000信息技术服务管理体系认证(认证覆盖的业务范围包括商用密码应用安全性评估)；（2）IS027001信息安全管理体系认证证书(认证覆盖的业务范围包括商用密码应用安全性评估)；（3）GB/T19001/IS09001质量管理体系认证证书(认证覆盖的业务范围包括商用密码应用安全性评估)；（4）市场监督管理部门颁发的《检验检测机构资质认定证书》(CMA，能力范围覆盖信息安全性检测)；（5）IS045001职业健康安全管理体系认证证书(认证覆盖的业务范围包括商用密码应用安全性评估)。注：以提供证书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项目负责人（1名）：①通过商用密码应用安全性评估从业人员考试，计3分；②具有项目管理专业人员PMP证书或信息系统项目管理师证书,计2分；③具有密码管理部门认可的密码工程技术人员或密码技术应用员证书、注册信息安全专业人员（CISP）、信息安全保障人员认证证书（CISAW）、数据安全评估师认证证书（CCRC-DSA），以上证书每具备一个得1分，最高计3分。 （注：须提供人员身份证复印件、相关能力证书复印件及近3个月内任意1个月在本单位的社保缴纳证明，并加盖单位公章）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项目团队成员（≥5人）：（1）团队成员（不包含项目经理）应具有商用密码应用安全性评估从业人员考核成绩合格证明且团队成员不少于5人，每有1名符合要求的得1分，最多得10分，少于5人不得分； （2）团队成员中有CISP注册信息安全专业人员证书、CISAW信息安全保障人员认证证书、密评从业人员考核成绩75分以上中任意一项的，每人加1分，最多得5分，注：同一人员取得多个证书的只加1分，人员须提供证书复印件和开标前一个月的在本单位已缴纳的社保缴费证明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信息系统密码应用基本要求（GB/T39786-2021）制定商用密码应用安全性评估工作的实施方案，内容包括但不限于：①测评对象分析；②测评方法；③测评过程；④测评内容；⑤测评结果分析；⑥报告编制；⑦整改复测等内容。方案各项内容全面详细、阐述条理清晰详尽、符合本项目采购需求，能有效保障本项目实施。每项满分2分，缺项不得分,每存在一个缺陷，扣1分，扣完为止。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安全保密制度</w:t>
            </w:r>
          </w:p>
        </w:tc>
        <w:tc>
          <w:tcPr>
            <w:tcW w:type="dxa" w:w="2492"/>
          </w:tcPr>
          <w:p>
            <w:pPr>
              <w:pStyle w:val="null3"/>
            </w:pPr>
            <w:r>
              <w:rPr>
                <w:rFonts w:ascii="仿宋_GB2312" w:hAnsi="仿宋_GB2312" w:cs="仿宋_GB2312" w:eastAsia="仿宋_GB2312"/>
              </w:rPr>
              <w:t>供应商提供针对本项目的安全保密制度方案，内容包括但不限于：①安全管理制度；②风险评估及应对；③密码安全应急处置；④保密措施及承诺；⑤组织保障体系。方案各项内容全面详细、阐述条理清晰详尽、符合本项目采购需求，能有效保障本项目实施。每项满分 2分，缺项不得分，每存在一个缺陷，扣1分，扣完为止。备注：缺陷是指内容不合理、虽有内容但不完善、内容表述前后不一致、套用其他项目方案或与项目需求不匹配及其他不利于项目实施的任意一种情形。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供应商根据服务需求制定测评进度控制计划，内容包括但不限于：①进度分解；②影响因素分析；③影响因素应对措施；④进度监测措施；⑤进度保证措施等内容。方案各项内容全面详细、阐述条理清晰详尽、符合本项目采购需求，能有效保障本项目实施。每项满分2分，缺项不得分，每存在一个缺陷，扣1分，扣完为止。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供应商为保障在测评项目结束后的信息安全，须提供完善的售后服务，内容包括但不限于：①针对本项目本地化服务团队承诺；②应急响应服务；③电话支持服务；④配合检查服务；⑤安全咨询服务；⑥安全培训服务；⑦模拟测评环境等内容。方案各项内容能提供以上服务，服务内容完善并有详细的说明、符合本项目采购需求，每项满分2分，缺项不得分，每存在一个缺陷，扣1分，扣完为止。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供应商应具备专业的密码测评工具以及模拟验证环境，测评工具每项计1分，最高 5 分； （注：测评工具和模拟验证环境需提供购买发票凭证复印件或提供中华人民共和国国家版权局颁发的著作权登记证书复印件加盖公章）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合同或相关证明材料），每提供1份得2分，最高得8分；（提供合同至少包含合同首页、签章页以及能体现合同签订时间、项目内容的关键页复印件，提供相关证明材料至少包含中标通知书或者密码管理部门的备案回执之一，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价格分采用低价优先法计算，即满足招标文件要求且投标报价最低的为评标基准价，其价格分为满分。其他供应商的价格分统一按照下列公式计算：投标报价得分=（评标基准价/投标报价）×价格权值×100。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详见附件：合同-西安市智慧教育大平台密码应用安全性评估服务项目.docx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