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版本号：SZT2025-SN-XC-ZC-HW-117020251204001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西安市身份证识别器和疫苗PDA手持终端采购项目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SZT2025-SN-XC-ZC-HW-1170</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西安市身份证识别器和疫苗PDA手持终端采购项目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SZT2025-SN-XC-ZC-HW-1170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西安市身份证识别器和疫苗PDA手持终端采购项目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采购包1：采购身份识别器816个；采购包2：采购疫苗PDA手持终端18个；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029-85525039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采购包1：816,000.00元</w:t>
            </w:r>
          </w:p>
          <w:p>
            <w:pPr>
              <w:pStyle w:val="null3"/>
            </w:pPr>
            <w:r>
              <w:rPr>
                <w:rFonts w:ascii="仿宋_GB2312" w:hAnsi="仿宋_GB2312" w:cs="仿宋_GB2312" w:eastAsia="仿宋_GB2312"/>
              </w:rPr>
              <w:t>采购包2：72,000.00元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不足叁仟元整按叁仟元计取。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采购包1：采购身份识别器816个；采购包2：采购疫苗PDA手持终端18个；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816,000.00</w:t>
      </w:r>
    </w:p>
    <w:p>
      <w:pPr>
        <w:pStyle w:val="null3"/>
      </w:pPr>
      <w:r>
        <w:rPr>
          <w:rFonts w:ascii="仿宋_GB2312" w:hAnsi="仿宋_GB2312" w:cs="仿宋_GB2312" w:eastAsia="仿宋_GB2312"/>
        </w:rPr>
        <w:t>采购包最高限价（元）: 816,000.00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身份证识别器</w:t>
            </w:r>
          </w:p>
        </w:tc>
        <w:tc>
          <w:tcPr>
            <w:tcW w:type="dxa" w:w="831"/>
          </w:tcPr>
          <w:p>
            <w:pPr>
              <w:pStyle w:val="null3"/>
              <w:jc w:val="right"/>
            </w:pPr>
            <w:r>
              <w:rPr>
                <w:rFonts w:ascii="仿宋_GB2312" w:hAnsi="仿宋_GB2312" w:cs="仿宋_GB2312" w:eastAsia="仿宋_GB2312"/>
              </w:rPr>
              <w:t>816.00</w:t>
            </w:r>
          </w:p>
        </w:tc>
        <w:tc>
          <w:tcPr>
            <w:tcW w:type="dxa" w:w="831"/>
          </w:tcPr>
          <w:p>
            <w:pPr>
              <w:pStyle w:val="null3"/>
              <w:jc w:val="right"/>
            </w:pPr>
            <w:r>
              <w:rPr>
                <w:rFonts w:ascii="仿宋_GB2312" w:hAnsi="仿宋_GB2312" w:cs="仿宋_GB2312" w:eastAsia="仿宋_GB2312"/>
              </w:rPr>
              <w:t>816,000.00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疫苗PDA手持终端,</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标的名称：身份证识别器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67"/>
              <w:gridCol w:w="68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西安市疾病预防控制中心西安市身份证识别器和疫苗</w:t>
                  </w:r>
                  <w:r>
                    <w:rPr>
                      <w:rFonts w:ascii="仿宋_GB2312" w:hAnsi="仿宋_GB2312" w:cs="仿宋_GB2312" w:eastAsia="仿宋_GB2312"/>
                      <w:sz w:val="24"/>
                      <w:color w:val="000000"/>
                    </w:rPr>
                    <w:t>PDA手持终端采购项目采购清单</w:t>
                  </w:r>
                </w:p>
              </w:tc>
            </w:tr>
            <w:tr>
              <w:tc>
                <w:tcPr>
                  <w:tcW w:type="dxa" w:w="1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6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数量（个）</w:t>
                  </w:r>
                </w:p>
              </w:tc>
            </w:tr>
            <w:tr>
              <w:tc>
                <w:tcPr>
                  <w:tcW w:type="dxa" w:w="1867"/>
                  <w:vMerge/>
                  <w:tcBorders>
                    <w:top w:val="none" w:color="000000" w:sz="4"/>
                    <w:left w:val="single" w:color="000000" w:sz="4"/>
                    <w:bottom w:val="single" w:color="000000" w:sz="4"/>
                    <w:right w:val="single" w:color="000000" w:sz="4"/>
                  </w:tcBorders>
                </w:tcPr>
                <w:p/>
              </w:tc>
              <w:tc>
                <w:tcPr>
                  <w:tcW w:type="dxa" w:w="686"/>
                  <w:vMerge/>
                  <w:tcBorders>
                    <w:top w:val="single" w:color="000000" w:sz="4"/>
                    <w:left w:val="none" w:color="000000" w:sz="4"/>
                    <w:bottom w:val="single" w:color="000000" w:sz="4"/>
                    <w:right w:val="single" w:color="000000" w:sz="4"/>
                  </w:tcBorders>
                </w:tcPr>
                <w:p/>
              </w:tc>
            </w:tr>
            <w:tr>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身份</w:t>
                  </w:r>
                  <w:r>
                    <w:rPr>
                      <w:rFonts w:ascii="仿宋_GB2312" w:hAnsi="仿宋_GB2312" w:cs="仿宋_GB2312" w:eastAsia="仿宋_GB2312"/>
                      <w:sz w:val="24"/>
                      <w:color w:val="000000"/>
                    </w:rPr>
                    <w:t>证</w:t>
                  </w:r>
                  <w:r>
                    <w:rPr>
                      <w:rFonts w:ascii="仿宋_GB2312" w:hAnsi="仿宋_GB2312" w:cs="仿宋_GB2312" w:eastAsia="仿宋_GB2312"/>
                      <w:sz w:val="24"/>
                      <w:color w:val="000000"/>
                    </w:rPr>
                    <w:t>识别器</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816</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身份证识别器参数</w:t>
            </w:r>
          </w:p>
          <w:p>
            <w:pPr>
              <w:pStyle w:val="null3"/>
              <w:jc w:val="left"/>
            </w:pPr>
            <w:r>
              <w:rPr>
                <w:rFonts w:ascii="仿宋_GB2312" w:hAnsi="仿宋_GB2312" w:cs="仿宋_GB2312" w:eastAsia="仿宋_GB2312"/>
                <w:sz w:val="24"/>
                <w:b/>
                <w:color w:val="000000"/>
              </w:rPr>
              <w:t>1.技术指标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1）提供</w:t>
            </w:r>
            <w:r>
              <w:rPr>
                <w:rFonts w:ascii="仿宋_GB2312" w:hAnsi="仿宋_GB2312" w:cs="仿宋_GB2312" w:eastAsia="仿宋_GB2312"/>
                <w:sz w:val="24"/>
                <w:color w:val="000000"/>
              </w:rPr>
              <w:t>同投标货物型号一致的产品手册、介绍、说明书等技术材料。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内置最新居民身份证验证安全控制模块接口技术规范，具备身份证识别模块可进行二代身份证读取及采集功能，身份证识别模块具备公安部检测报告（提供检测报告）。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）支持读取</w:t>
            </w:r>
            <w:r>
              <w:rPr>
                <w:rFonts w:ascii="仿宋_GB2312" w:hAnsi="仿宋_GB2312" w:cs="仿宋_GB2312" w:eastAsia="仿宋_GB2312"/>
                <w:sz w:val="24"/>
                <w:color w:val="000000"/>
              </w:rPr>
              <w:t>二代</w:t>
            </w:r>
            <w:r>
              <w:rPr>
                <w:rFonts w:ascii="仿宋_GB2312" w:hAnsi="仿宋_GB2312" w:cs="仿宋_GB2312" w:eastAsia="仿宋_GB2312"/>
                <w:sz w:val="24"/>
                <w:color w:val="000000"/>
              </w:rPr>
              <w:t>居民身份证、港澳台居民居住证、外国人永久居留证。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）具有远程维护，具有电源自动保护设计，可进行远程固件升级。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）具有国密芯片。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）支持硬解密，支持多算法。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平均无障碍工作时间（</w:t>
            </w:r>
            <w:r>
              <w:rPr>
                <w:rFonts w:ascii="仿宋_GB2312" w:hAnsi="仿宋_GB2312" w:cs="仿宋_GB2312" w:eastAsia="仿宋_GB2312"/>
                <w:sz w:val="24"/>
                <w:color w:val="000000"/>
              </w:rPr>
              <w:t>MTBF）大于5000小时。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设备生产厂家能提供软件、硬件的技术对接参数，</w:t>
            </w:r>
            <w:r>
              <w:rPr>
                <w:rFonts w:ascii="仿宋_GB2312" w:hAnsi="仿宋_GB2312" w:cs="仿宋_GB2312" w:eastAsia="仿宋_GB2312"/>
                <w:sz w:val="24"/>
                <w:color w:val="000000"/>
              </w:rPr>
              <w:t>能够</w:t>
            </w:r>
            <w:r>
              <w:rPr>
                <w:rFonts w:ascii="仿宋_GB2312" w:hAnsi="仿宋_GB2312" w:cs="仿宋_GB2312" w:eastAsia="仿宋_GB2312"/>
                <w:sz w:val="24"/>
                <w:color w:val="000000"/>
              </w:rPr>
              <w:t>完成与</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省免疫规划信息系统的适配，可通过省免疫规划信息系统调用设备完成身份信息读取（需现场系统演示调取省免疫规划系统档案、</w:t>
            </w:r>
            <w:r>
              <w:rPr>
                <w:rFonts w:ascii="仿宋_GB2312" w:hAnsi="仿宋_GB2312" w:cs="仿宋_GB2312" w:eastAsia="仿宋_GB2312"/>
                <w:sz w:val="24"/>
                <w:color w:val="000000"/>
              </w:rPr>
              <w:t>如不能演示必须提供承诺函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）读卡类型：身份证（序列号）；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）刷卡响应时间：</w:t>
            </w:r>
            <w:r>
              <w:rPr>
                <w:rFonts w:ascii="仿宋_GB2312" w:hAnsi="仿宋_GB2312" w:cs="仿宋_GB2312" w:eastAsia="仿宋_GB2312"/>
                <w:sz w:val="24"/>
                <w:color w:val="000000"/>
              </w:rPr>
              <w:t>&lt;1s；</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）读卡距离：</w:t>
            </w:r>
            <w:r>
              <w:rPr>
                <w:rFonts w:ascii="仿宋_GB2312" w:hAnsi="仿宋_GB2312" w:cs="仿宋_GB2312" w:eastAsia="仿宋_GB2312"/>
                <w:sz w:val="24"/>
                <w:color w:val="000000"/>
              </w:rPr>
              <w:t>0cm～5cm；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USB接口：USB接口</w:t>
            </w:r>
            <w:r>
              <w:rPr>
                <w:rFonts w:ascii="仿宋_GB2312" w:hAnsi="仿宋_GB2312" w:cs="仿宋_GB2312" w:eastAsia="仿宋_GB2312"/>
                <w:sz w:val="24"/>
                <w:color w:val="000000"/>
              </w:rPr>
              <w:t>为</w:t>
            </w:r>
            <w:r>
              <w:rPr>
                <w:rFonts w:ascii="仿宋_GB2312" w:hAnsi="仿宋_GB2312" w:cs="仿宋_GB2312" w:eastAsia="仿宋_GB2312"/>
                <w:sz w:val="24"/>
                <w:color w:val="000000"/>
              </w:rPr>
              <w:t>2.0及</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服务指标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）承诺货物质保期为</w:t>
            </w:r>
            <w:r>
              <w:rPr>
                <w:rFonts w:ascii="仿宋_GB2312" w:hAnsi="仿宋_GB2312" w:cs="仿宋_GB2312" w:eastAsia="仿宋_GB2312"/>
                <w:sz w:val="24"/>
                <w:color w:val="000000"/>
              </w:rPr>
              <w:t>3年；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）承诺用户问题</w:t>
            </w:r>
            <w:r>
              <w:rPr>
                <w:rFonts w:ascii="仿宋_GB2312" w:hAnsi="仿宋_GB2312" w:cs="仿宋_GB2312" w:eastAsia="仿宋_GB2312"/>
                <w:sz w:val="24"/>
                <w:color w:val="000000"/>
              </w:rPr>
              <w:t>1小时响应，8小时远程或上门处理 ，48小时内解决用户问题；</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3）承诺为使用方提供安装、使用培训服务。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标的名称：疫苗PDA手持终端,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67"/>
              <w:gridCol w:w="68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西安市疾病预防控制中心西安市身份证识别器和疫苗</w:t>
                  </w:r>
                  <w:r>
                    <w:rPr>
                      <w:rFonts w:ascii="仿宋_GB2312" w:hAnsi="仿宋_GB2312" w:cs="仿宋_GB2312" w:eastAsia="仿宋_GB2312"/>
                      <w:sz w:val="24"/>
                      <w:color w:val="000000"/>
                    </w:rPr>
                    <w:t>PDA手持终端采购项目采购清单</w:t>
                  </w:r>
                </w:p>
              </w:tc>
            </w:tr>
            <w:tr>
              <w:tc>
                <w:tcPr>
                  <w:tcW w:type="dxa" w:w="1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6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数量（个）</w:t>
                  </w:r>
                </w:p>
              </w:tc>
            </w:tr>
            <w:tr>
              <w:tc>
                <w:tcPr>
                  <w:tcW w:type="dxa" w:w="1867"/>
                  <w:vMerge/>
                  <w:tcBorders>
                    <w:top w:val="none" w:color="000000" w:sz="4"/>
                    <w:left w:val="single" w:color="000000" w:sz="4"/>
                    <w:bottom w:val="single" w:color="000000" w:sz="4"/>
                    <w:right w:val="single" w:color="000000" w:sz="4"/>
                  </w:tcBorders>
                </w:tcPr>
                <w:p/>
              </w:tc>
              <w:tc>
                <w:tcPr>
                  <w:tcW w:type="dxa" w:w="686"/>
                  <w:vMerge/>
                  <w:tcBorders>
                    <w:top w:val="single" w:color="000000" w:sz="4"/>
                    <w:left w:val="none" w:color="000000" w:sz="4"/>
                    <w:bottom w:val="single" w:color="000000" w:sz="4"/>
                    <w:right w:val="single" w:color="000000" w:sz="4"/>
                  </w:tcBorders>
                </w:tcPr>
                <w:p/>
              </w:tc>
            </w:tr>
            <w:tr>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疫苗</w:t>
                  </w:r>
                  <w:r>
                    <w:rPr>
                      <w:rFonts w:ascii="仿宋_GB2312" w:hAnsi="仿宋_GB2312" w:cs="仿宋_GB2312" w:eastAsia="仿宋_GB2312"/>
                      <w:sz w:val="24"/>
                      <w:color w:val="000000"/>
                    </w:rPr>
                    <w:t>PDA手持终端</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PDA参数</w:t>
            </w:r>
          </w:p>
          <w:p>
            <w:pPr>
              <w:pStyle w:val="null3"/>
              <w:jc w:val="left"/>
            </w:pPr>
            <w:r>
              <w:rPr>
                <w:rFonts w:ascii="仿宋_GB2312" w:hAnsi="仿宋_GB2312" w:cs="仿宋_GB2312" w:eastAsia="仿宋_GB2312"/>
                <w:sz w:val="24"/>
                <w:b/>
                <w:color w:val="000000"/>
              </w:rPr>
              <w:t>1.技术指标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1）通讯方式：支持WiFi2.4G/5G双频；支持蓝牙4.0及以上通讯。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2）内存：RAM≥4GB；ROM≥64GB；电池容量：电池容量≥4800mAh；电池在开机情况下，续航≥600分钟。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3）工作环境：符合跌落测试要求，环境湿度5%～95%（无凝结）、工作温度：-10℃-50℃，可长时间工作。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4）配件：含保护套、挂绳、钢化膜。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5）具备条码扫描功能，支持药品、疫苗追溯码扫描，具备补光灯支持暗环境扫码。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6）与陕西省疫苗全程追溯平台对接实现库存实时查看，近效期库存查看，过期库存查看，支持疫苗库存出入库，确保疫苗扫码的便利性、顺畅性和准确性。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与陕西省疫苗全程追溯平台采购入库，退货入库，上级发货对接，可自动获取出入库单据信息，用户可直接选择出入库单据获取本次出入库信息，直接进行疫苗出入库操作。（需现场系统演示调取省免疫规划系统档案、如不能演示必须提供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8）支持多种入库单据类型，包括采购入库、上级发货入库、退货入库、拒收入库、报废入库单据。支持多种出库类型，包括疫苗出库、退货出库、计划出库、报废出库、损坏出库单据。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9）与陕西省疫苗全程追溯平台对接，采购入库、退货入库、上级发货入库完成扫码后，支持在移动数据终端进行审核，审核完成后，疫苗库存实时同步至疫苗全程追溯平台。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10）支持月度盘点、疫苗转移、疫苗盘点等功能，支持用户每个月针对本单位库存进行实物清点，根据实物信息核对系统库存；支持疫苗存储转移，转移存储位置后，在疫苗全程追溯平台实现实时流转记录。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与陕西省疫苗全程追溯平台对接，扫描追溯码进行出入库时，可实时获取码信息，并同步开展精准校验。校验机制紧密关联出入库单据及疫苗信息，针对扫码所获疫苗信息与单据记载详情不相契合的情况，系统将即刻启动异常提示功能，精准反馈 “扫码异常” 的警示信息，有效拦截错误信息流入出入库作业流程，切实保障疫苗出入库数据的准确性与完整性。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12）支持批量快速扫码、同时支持扫描多个追溯码，并同时对多个追溯码完成校验。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13）操作系统：≥Android 9.0</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14）摄像头：前置摄像头≥500万像素；后置摄像头≥1300万像素，自动对焦；支持闪光灯；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15）通讯：Type C USB接口；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16）扫描：1、支持一维、二维码扫描，能对疫苗多种条码进行迅速、准确地解码。2、可自定义扫描按键，支持连续扫描。3、条码扫描提醒方式可自由设定,可在声音、震动、声音+震动三种模式间切换；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17）扫描按键：有固定扫描按键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18）显示屏：电容式多点触摸。支持湿手或戴手套输入。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19）固件升级：支持在线系统升级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20）抗摔性能：抗摔性能≥1.5米</w:t>
            </w:r>
          </w:p>
          <w:p>
            <w:pPr>
              <w:pStyle w:val="null3"/>
              <w:jc w:val="left"/>
            </w:pPr>
            <w:r>
              <w:rPr>
                <w:rFonts w:ascii="仿宋_GB2312" w:hAnsi="仿宋_GB2312" w:cs="仿宋_GB2312" w:eastAsia="仿宋_GB2312"/>
                <w:sz w:val="24"/>
                <w:color w:val="000000"/>
              </w:rPr>
              <w:t>2.服务指标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1）承诺货物质保期为3年；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2）承诺用户问题1小时响应，8小时远程或上门处理 ，48小时内解决用户问题；</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3）承诺为使用方提供使用培训。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合同签订接采购人通知后10个日历日内完成交付。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合同签订接采购人通知后10个日历日内完成交付。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自设备安装调试并正常投入使用后起,货物质保期3年。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自设备安装调试并正常投入使用后起,货物质保期3年。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1、为确保评审工作的顺利进行，供应商需要在线提交所有通过电子化交易平台实施的政府采购项目的响应文件，同时，线下提交响应文件正本 壹 份、副本 贰 套。若系统电子响应文件与纸质响应文件不一致的，以系统电子响应文件为准。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合同签订接采购人通知后10个日历日内完成交付。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自设备安装调试并正常投入使用后起,货物质保期3年。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合同签订接采购人通知后10个日历日内完成交付。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自设备安装调试并正常投入使用后起,货物质保期3年。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所投产品的技术指标评审：技术参数规格明确，满足采购人应用的需求，对每个设备都进行明确响应，满足磋商文件要求得20分。参数指标每有一项负偏离扣2分，扣完为止。 注：1、参数指标需提供证明材料，未提供证明材料认定为负偏离，证明材料不限于产品彩页、官网截图、检测报告、技术说明书等。 2、磋商小组认为响应文件技术参数响应完全复制采购文件技术指标要求的，给予5分扣分。 3、响应文件技术参数响应与后附证明材料不一致又未有说明的，给予5分扣分。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供应商提供针对本项目的实施方案，至少包含：1、供货组织安排、安装、检测、调试措施；2、实施步骤、进度计划和保证措施；3、安全控制方案及质量措施；4、组织机构人员配置、协调能力；5、验收方案等。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质量保证完善，符合国际、国内相关标准或行业标准，维修及更换频次低；4、投标产品操纵和控制系统功能完整，界面布局简洁，清楚，逻辑明确；5、设备的安全防护措施完善，安全可靠性高。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至少包含：1、售后服务机构健全，能够提供高效服务的，具有相应的物力、人力保障；2、在设备使用过程中出现问题答复时间、到达现场时间、解决问题时间承诺函；3、退/调换货及设备维保方案；4、应急补救措施或方案；5、质保期结束后的产品维护方案及维护费用收取标准。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样机展示</w:t>
            </w:r>
          </w:p>
        </w:tc>
        <w:tc>
          <w:tcPr>
            <w:tcW w:type="dxa" w:w="2492"/>
          </w:tcPr>
          <w:p>
            <w:pPr>
              <w:pStyle w:val="null3"/>
            </w:pPr>
            <w:r>
              <w:rPr>
                <w:rFonts w:ascii="仿宋_GB2312" w:hAnsi="仿宋_GB2312" w:cs="仿宋_GB2312" w:eastAsia="仿宋_GB2312"/>
              </w:rPr>
              <w:t>提供产品样机，根据1、产品外观、材质；2、操作方式；3、人机适宜度；产品功能进行赋分。 共3项内容，每项满分3分。外观精美、材质选择先进、产品设计科学、操作简便、人机适宜性强、功能符合采购需求的得满分，每有一处内容存在不足，扣0.5分，扣完为止。 注：样机密封完好同纸质响应文件一同提交。开标结束全部退还。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承诺函-包1.docx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供应商提供针对本项目的合理化建议和增值服务方案（如延长质保期等）。 1、提供的合理化建议及服务承诺函内容全面，有针对性，有利于项目后期实施得3分； 2、合理化建议或者增值服务内容简单但基本可行得2分； 3、合理化建议及服务承诺函有缺项、可实施性较差计 1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供应商自2022年1月1日以来同类产品业绩，每提供1份完整有效的合同得1分，共5分。（以合同签订时间为准）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采用低价优先法计算，即实质性满足磋商文件要求且投标价格最低的投标报价为评标基准价，其价格分为满分30分。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所投产品的技术指标评审：技术参数规格明确，满足采购人应用的需求，对每个设备都进行明确响应，满足磋商文件要求得20分。参数指标每有一项负偏离扣2分，扣完为止。 注：1、参数指标需提供证明材料，未提供证明材料认定为负偏离，证明材料不限于产品彩页、官网截图、检测报告、技术说明书等。 2、磋商小组认为响应文件技术参数响应完全复制采购文件技术指标要求的，给予5分扣分。 3、响应文件技术参数响应与后附证明材料不一致又未有说明的，给予5分扣分。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供应商提供针对本项目的实施方案，至少包含：1、供货组织安排、安装、检测、调试措施；2、实施步骤、进度计划和保证措施；3、安全控制方案及质量措施；4、组织机构人员配置、协调能力；5、验收方案等。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质量保证完善，符合国际、国内相关标准或行业标准，维修及更换频次低；4、投标产品操纵和控制系统功能完整，界面布局简洁，清楚，逻辑明确；5、设备的安全防护措施完善，安全可靠性高。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至少包含：1、售后服务机构健全，能够提供高效服务的，具有相应的物力、人力保障；2、在设备使用过程中出现问题答复时间、到达现场时间、解决问题时间承诺函；3、退/调换货及设备维保方案；4、应急补救措施或方案；5、质保期结束后的产品维护方案及维护费用收取标准。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样机展示</w:t>
            </w:r>
          </w:p>
        </w:tc>
        <w:tc>
          <w:tcPr>
            <w:tcW w:type="dxa" w:w="2492"/>
          </w:tcPr>
          <w:p>
            <w:pPr>
              <w:pStyle w:val="null3"/>
            </w:pPr>
            <w:r>
              <w:rPr>
                <w:rFonts w:ascii="仿宋_GB2312" w:hAnsi="仿宋_GB2312" w:cs="仿宋_GB2312" w:eastAsia="仿宋_GB2312"/>
              </w:rPr>
              <w:t>提供产品样机，根据1、产品外观、材质；2、操作方式；3、人机适宜度；产品功能进行赋分。 共3项内容，每项满分3分。外观精美、材质选择先进、产品设计科学、操作简便、人机适宜性强、功能符合采购需求的得满分，每有一处内容存在不足，扣0.5分，扣完为止。 注：样机密封完好同纸质响应文件一同提交。开标结束全部退还。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承诺函-包2.docx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供应商提供针对本项目的合理化建议和增值服务方案（如延长质保期等）。 1、提供的合理化建议及服务承诺函内容全面，有针对性，有利于项目后期实施得3分； 2、合理化建议或者增值服务内容简单但基本可行得2分； 3、合理化建议及服务承诺函有缺项、可实施性较差计 1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供应商自2022年1月1日以来同类产品业绩，每提供1份完整有效的合同得1分，共5分。（以合同签订时间为准）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采用低价优先法计算，即实质性满足磋商文件要求且投标价格最低的投标报价为评标基准价，其价格分为满分30分。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详见附件：承诺函-包1.docx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详见附件：承诺函-包2.docx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