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版本号：ZCZX2025-CS-22520251204001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传染病四大症候群多病原哨点监测试剂采购项目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ZCZX2025-CS-225</w:t>
      </w:r>
      <w:r>
        <w:br/>
      </w:r>
      <w:r>
        <w:br/>
      </w:r>
      <w:r>
        <w:br/>
      </w:r>
    </w:p>
    <w:p>
      <w:pPr>
        <w:pStyle w:val="null3"/>
        <w:jc w:val="center"/>
        <w:outlineLvl w:val="2"/>
      </w:pPr>
      <w:r>
        <w:rPr>
          <w:rFonts w:ascii="仿宋_GB2312" w:hAnsi="仿宋_GB2312" w:cs="仿宋_GB2312" w:eastAsia="仿宋_GB2312"/>
          <w:sz w:val="28"/>
          <w:b/>
        </w:rPr>
        <w:t>西安市疾病预防控制中心</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西安市疾病预防控制中心</w:t>
      </w:r>
      <w:r>
        <w:rPr>
          <w:rFonts w:ascii="仿宋_GB2312" w:hAnsi="仿宋_GB2312" w:cs="仿宋_GB2312" w:eastAsia="仿宋_GB2312"/>
        </w:rPr>
        <w:t>委托，拟对</w:t>
      </w:r>
      <w:r>
        <w:rPr>
          <w:rFonts w:ascii="仿宋_GB2312" w:hAnsi="仿宋_GB2312" w:cs="仿宋_GB2312" w:eastAsia="仿宋_GB2312"/>
        </w:rPr>
        <w:t>传染病四大症候群多病原哨点监测试剂采购项目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ZCZX2025-CS-225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传染病四大症候群多病原哨点监测试剂采购项目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采购发热伴出疹多重荧光PCR核酸检测试剂、发热伴出血多重荧光PCR核酸检测试剂、脑炎脑膜炎多重荧光PCR核酸检测试剂及腹泻多重荧光PCR核酸检测试剂一批。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采购包1（西安市疾病预防控制中心传染病四大症候群多病原哨点监测试剂采购项目）：属于专门面向中小企业采购。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p>
      <w:pPr>
        <w:pStyle w:val="null3"/>
      </w:pPr>
      <w:r>
        <w:rPr>
          <w:rFonts w:ascii="仿宋_GB2312" w:hAnsi="仿宋_GB2312" w:cs="仿宋_GB2312" w:eastAsia="仿宋_GB2312"/>
        </w:rPr>
        <w:t>2、承诺要求：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p>
      <w:pPr>
        <w:pStyle w:val="null3"/>
      </w:pPr>
      <w:r>
        <w:rPr>
          <w:rFonts w:ascii="仿宋_GB2312" w:hAnsi="仿宋_GB2312" w:cs="仿宋_GB2312" w:eastAsia="仿宋_GB2312"/>
        </w:rPr>
        <w:t>3、供应商与采购人关联关系：本项目不接受由西安市疾病预防控制中心职工及其亲属投资开办的企业参加本单位的政府采购活动；（提供承诺函）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西安市疾病预防控制中心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西安市西影路599号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令老师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029-85535673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西安曲江新区翠华南路1688号创意盒子13层1304室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王鹏飞、吴芳超、孟凌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采购包1：1,270,000.00元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的通知（计价格〔2002〕1980号）、《国家发展和改革委员会办公厅关于招标代理服务收费有关问题的通知》（发改办价格〔2003〕857号）规定向中标（成交）供应商收取代理服务费。 成交单位的代理服务费交纳信息 银行户名：陕西众诚致信管理咨询有限公司 开户银行：北京银行股份有限公司西安分行营业部 账 号：20000042729000032633420 联系人：范道宏 联系电话：029-88565528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西安市疾病预防控制中心</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西安市疾病预防控制中心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联系人：王鹏飞、吴芳超、孟凌</w:t>
      </w:r>
    </w:p>
    <w:p>
      <w:pPr>
        <w:pStyle w:val="null3"/>
      </w:pPr>
      <w:r>
        <w:rPr>
          <w:rFonts w:ascii="仿宋_GB2312" w:hAnsi="仿宋_GB2312" w:cs="仿宋_GB2312" w:eastAsia="仿宋_GB2312"/>
        </w:rPr>
        <w:t>联系电话： 029-89565998</w:t>
      </w:r>
    </w:p>
    <w:p>
      <w:pPr>
        <w:pStyle w:val="null3"/>
      </w:pPr>
      <w:r>
        <w:rPr>
          <w:rFonts w:ascii="仿宋_GB2312" w:hAnsi="仿宋_GB2312" w:cs="仿宋_GB2312" w:eastAsia="仿宋_GB2312"/>
        </w:rPr>
        <w:t>地址：西安曲江新区翠华南路1688号创意盒子13层1304室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采购发热伴出疹多重荧光PCR核酸检测试剂、发热伴出血多重荧光PCR核酸检测试剂、脑炎脑膜炎多重荧光PCR核酸检测试剂及腹泻多重荧光PCR核酸检测试剂一批。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1,270,000.00</w:t>
      </w:r>
    </w:p>
    <w:p>
      <w:pPr>
        <w:pStyle w:val="null3"/>
      </w:pPr>
      <w:r>
        <w:rPr>
          <w:rFonts w:ascii="仿宋_GB2312" w:hAnsi="仿宋_GB2312" w:cs="仿宋_GB2312" w:eastAsia="仿宋_GB2312"/>
        </w:rPr>
        <w:t>采购包最高限价（元）: 1,270,000.00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腹泻多重荧光腹泻多重荧光PCR核酸检测试剂等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1,270,000.00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标的名称：腹泻多重荧光腹泻多重荧光PCR核酸检测试剂等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188"/>
              <w:gridCol w:w="239"/>
              <w:gridCol w:w="1632"/>
              <w:gridCol w:w="239"/>
              <w:gridCol w:w="254"/>
            </w:tblGrid>
            <w:tr>
              <w:tc>
                <w:tcPr>
                  <w:tcW w:type="dxa" w:w="188"/>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试剂名称</w:t>
                  </w:r>
                </w:p>
              </w:tc>
              <w:tc>
                <w:tcPr>
                  <w:tcW w:type="dxa" w:w="163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技术要求</w:t>
                  </w:r>
                </w:p>
              </w:tc>
              <w:tc>
                <w:tcPr>
                  <w:tcW w:type="dxa" w:w="239"/>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单位</w:t>
                  </w:r>
                </w:p>
              </w:tc>
              <w:tc>
                <w:tcPr>
                  <w:tcW w:type="dxa" w:w="254"/>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数量</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发热伴出疹多重荧光PCR核酸检测试剂</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适用范围和功能：用于定性检测发热伴出疹患者相关临床样本中的常见病原体，应至少包括以下11种病原：肠道病毒、麻疹病毒、风疹病毒、水痘带状疱疹病毒、人疱疹病毒6型、伤寒沙门菌、副伤寒沙门菌、A族链球菌、回归热螺旋体、伯氏疏螺旋体和普氏立克次体。</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、检测技术：多重实时荧光PCR技术，TaqMan探针法，PCR扩增不设预循环，从第一个循环数开始读取荧光值，反应时间≤90分钟。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、试剂组成及规格：采用预分装的引物探针混合液，使用8联管或可拆分96孔板分装，每个反应孔核酸使用体积≤5μL，反应体系≤25 µL。含有阴性及阳性对照。</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、最低检出限：本试剂盒最低检出限≤500copies/mL，与其他病原菌均无交叉反应。</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、储存效期：试剂盒有效期≥12个月，到货后有效期≥10个月。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、防污染体系：试剂盒配有UNG-dUTP防产物污染系统，可以有效地控制PCR产物带来的污染。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、开放性试剂，适用于市面主流的PCR仪。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人份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300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发热伴出血多重荧光PCR核酸检测试剂</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适用范围和功能：用于定性检测发热伴出血患者相关临床样本中的常见病原体，应至少包括以下12种病原：大别班达病毒、汉滩病毒、首尔病毒、普马拉病毒、登革病毒、克里米亚刚果出血热病毒、湿地病毒、钩端螺旋体、人嗜吞噬细胞无形体、猪链球菌、鄂木斯克出血热病毒和卡萨诺尔森林病毒。</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、检测技术：多重实时荧光PCR技术，TaqMan探针法，PCR扩增不设预循环，从第一个循环数开始读取荧光值，反应时间≤90分钟。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、试剂组成及规格：采用预分装的引物探针混合液，可提供8联管或可拆分96孔板包装，每个反应孔核酸使用体积≤5μL，每孔反应体系≤25 µL。含有阴性及阳性对照。</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、最低检出限：本试剂盒最低检出限≤500copies/mL，与其他病原菌均无交叉反应。</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、储存效期：试剂盒有效期≥12个月，到货后有效期≥10个月。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、防污染体系：试剂盒配有UNG-dUTP防产物污染系统，可以有效地控制PCR产物带来的污染。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、开放性试剂，适用于市面主流的PCR仪。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人份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250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脑炎脑膜炎多重荧光PCR核酸检测试剂</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适用范围：适用于定性检测从临床样本及其培养物中提取的脑炎脑膜炎病原体核酸，应至少包含以下病原：脑膜炎奈瑟菌、流感嗜血杆菌、肺炎链球菌、B 族链球菌、A 族链球菌、单增李斯特菌、金黄色葡萄球菌、肠道病毒、单纯疱疹病毒、水痘-带状疱疹病毒、乙型脑炎病毒、腮腺炎病毒和巨细胞病毒,可提供细菌和病毒分开检测的试剂。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、检测技术：多重实时荧光PCR技术，TaqMan探针法，PCR扩增不设预循环，从第一个循环数开始读取荧光值，反应时间≤90分钟。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、试剂组成及规格：采用预分装的引物探针混合液，可提供8联管或可拆分96孔板包装，每个反应孔核酸使用体积≤5μL，每孔反应体系≤25 µL。含有阴性及阳性对照。</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、最低检出限：本试剂盒最低检出限≤500copies/mL，与其他病原菌均无交叉反应。</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、储存效期：试剂盒有效期≥12个月，到货后有效期≥10个月。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、防污染体系：试剂盒配有UNG-dUTP防产物污染系统，可以有效地控制PCR产物带来的污染。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、开放性试剂，适用于市面主流的PCR仪。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人份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950</w:t>
                  </w:r>
                </w:p>
              </w:tc>
            </w:tr>
            <w:tr>
              <w:tc>
                <w:tcPr>
                  <w:tcW w:type="dxa" w:w="188"/>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腹泻多重荧光PCR核酸检测试剂（核心产品）</w:t>
                  </w:r>
                </w:p>
              </w:tc>
              <w:tc>
                <w:tcPr>
                  <w:tcW w:type="dxa" w:w="163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适用范围：适用于定性检测从粪便、肛拭子、呕吐物及培养物中提取的腹泻病原体核酸，应至少包含以下病原：诺如病毒、轮状病毒、札如病毒、肠道腺病毒、星状病毒、阪崎克罗诺杆菌、志贺氏菌、小肠结肠炎耶尔森氏菌、河弧菌、空肠弯曲菌、结肠弯曲菌、霍乱弧菌、副溶血性弧菌、嗜水气单胞菌、沙门菌、类志贺邻单胞菌、艰难梭菌、五种致泻大肠埃希氏菌，可提供细菌和病毒分开检测的试剂。</w:t>
                  </w:r>
                </w:p>
                <w:p>
                  <w:pPr>
                    <w:pStyle w:val="null3"/>
                    <w:jc w:val="left"/>
                  </w:pPr>
                  <w:r>
                    <w:rPr>
                      <w:rFonts w:ascii="仿宋_GB2312" w:hAnsi="仿宋_GB2312" w:cs="仿宋_GB2312" w:eastAsia="仿宋_GB2312"/>
                      <w:sz w:val="20"/>
                    </w:rPr>
                    <w:t>2</w:t>
                  </w:r>
                  <w:r>
                    <w:rPr>
                      <w:rFonts w:ascii="仿宋_GB2312" w:hAnsi="仿宋_GB2312" w:cs="仿宋_GB2312" w:eastAsia="仿宋_GB2312"/>
                      <w:sz w:val="20"/>
                    </w:rPr>
                    <w:t>、检测技术：多重实时荧光PCR技术，TaqMan探针法，PCR扩增不设预循环，从第一个循环数开始读取荧光值，反应时间≤90分钟。</w:t>
                  </w:r>
                </w:p>
                <w:p>
                  <w:pPr>
                    <w:pStyle w:val="null3"/>
                    <w:jc w:val="left"/>
                  </w:pPr>
                  <w:r>
                    <w:rPr>
                      <w:rFonts w:ascii="仿宋_GB2312" w:hAnsi="仿宋_GB2312" w:cs="仿宋_GB2312" w:eastAsia="仿宋_GB2312"/>
                      <w:sz w:val="20"/>
                    </w:rPr>
                    <w:t>3</w:t>
                  </w:r>
                  <w:r>
                    <w:rPr>
                      <w:rFonts w:ascii="仿宋_GB2312" w:hAnsi="仿宋_GB2312" w:cs="仿宋_GB2312" w:eastAsia="仿宋_GB2312"/>
                      <w:sz w:val="20"/>
                    </w:rPr>
                    <w:t>、试剂组成及规格：采用预分装的引物探针混合液，可提供8联管或可拆分96孔板包装，每个反应孔核酸使用体积≤5μL，每孔反应体系≤25 µL。含有阴性及阳性对照。</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、最低检出限：本试剂盒最低检出限≤500copies/mL，与其他病原菌均无交叉反应。</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、储存效期：试剂盒有效期≥12个月，到货后有效期≥10个月。</w:t>
                  </w:r>
                </w:p>
                <w:p>
                  <w:pPr>
                    <w:pStyle w:val="null3"/>
                    <w:jc w:val="left"/>
                  </w:pPr>
                  <w:r>
                    <w:rPr>
                      <w:rFonts w:ascii="仿宋_GB2312" w:hAnsi="仿宋_GB2312" w:cs="仿宋_GB2312" w:eastAsia="仿宋_GB2312"/>
                      <w:sz w:val="20"/>
                    </w:rPr>
                    <w:t>6</w:t>
                  </w:r>
                  <w:r>
                    <w:rPr>
                      <w:rFonts w:ascii="仿宋_GB2312" w:hAnsi="仿宋_GB2312" w:cs="仿宋_GB2312" w:eastAsia="仿宋_GB2312"/>
                      <w:sz w:val="20"/>
                    </w:rPr>
                    <w:t>、防污染体系：试剂盒配有UNG-dUTP防产物污染系统，可以有效地控制PCR产物带来的污染。</w:t>
                  </w:r>
                </w:p>
                <w:p>
                  <w:pPr>
                    <w:pStyle w:val="null3"/>
                    <w:jc w:val="left"/>
                  </w:pPr>
                  <w:r>
                    <w:rPr>
                      <w:rFonts w:ascii="仿宋_GB2312" w:hAnsi="仿宋_GB2312" w:cs="仿宋_GB2312" w:eastAsia="仿宋_GB2312"/>
                      <w:sz w:val="20"/>
                    </w:rPr>
                    <w:t>7</w:t>
                  </w:r>
                  <w:r>
                    <w:rPr>
                      <w:rFonts w:ascii="仿宋_GB2312" w:hAnsi="仿宋_GB2312" w:cs="仿宋_GB2312" w:eastAsia="仿宋_GB2312"/>
                      <w:sz w:val="20"/>
                    </w:rPr>
                    <w:t>、开放性试剂，适用于市面主流的PCR仪。</w:t>
                  </w:r>
                </w:p>
              </w:tc>
              <w:tc>
                <w:tcPr>
                  <w:tcW w:type="dxa" w:w="239"/>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人份</w:t>
                  </w:r>
                </w:p>
              </w:tc>
              <w:tc>
                <w:tcPr>
                  <w:tcW w:type="dxa" w:w="254"/>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800</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接到采购人送货通知后，20天内送达采购人指定地点。</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西安市疾病预防控制中心指定地点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合同签订后，乙方须按其响应文件中响应的供货期按时交货并提供全额合规发票，保证“货票同行”。货物到达甲方指定地点，验收合格后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试剂盒有效期≥12个月，到货后有效期≥10个月。试剂在使用过程中，如有任何问题，保证2小时内答复，4小时内到达用户现场解决问题，如无法解决保证予以更换。在应急突发、节假日期间如遇急需试剂可24小时随时响应，2小时内将试剂送达用户现场，如遇夜间4小时内送达用户现场。</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货物或质量不能满足磋商文件技术要求，在约定的条件下，供应商必须无条件更换，提高技术，完善质量，否则，采购人有权解除合同，解除合同书面通知书到达供应商之日视为合同已解除，并按以下两种方式追究供应商的违约责任： 1.供应商赔偿采购人解除合同的全部损失（包括但不限于重新采购产生的费用、合同未履行导致货物不能按规划交付使用可能产生的由此造成的甲方对第三方的违约损失）； 2.供应商支付甲方违约金，违约金计算方法：以合同总价为基数，支付甲方合同总价的30%为违约金。同时对乙方的违约行为报监管机构进行相应的处罚。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1.成交供应商领取通知书时提供纸质文件2份，纸质文件为电子投标文件一致的签字、盖章的完整版本。2. 定标环节采购人有权对响应文件承诺响应的内容进行复核，如有虚假响应，一经发现，取消成交资格并上报财政主管部门，列入政府采购黑名单。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身份证，并与营业执照上信息一致。法定代表人授权代表参加的，须出具法定代表人授权书，同时提供授权代表由供应商缴纳的磋商日期前连续3个月的社保记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承诺要求</w:t>
            </w:r>
          </w:p>
        </w:tc>
        <w:tc>
          <w:tcPr>
            <w:tcW w:type="dxa" w:w="3322"/>
          </w:tcPr>
          <w:p>
            <w:pPr>
              <w:pStyle w:val="null3"/>
            </w:pPr>
            <w:r>
              <w:rPr>
                <w:rFonts w:ascii="仿宋_GB2312" w:hAnsi="仿宋_GB2312" w:cs="仿宋_GB2312" w:eastAsia="仿宋_GB2312"/>
              </w:rPr>
              <w:t>供应商与其他供应商无交叉控股股东、无交叉兼任高级管理人员及涉嫌联合围标、串标行为，无采购单位和代理机构职工在该单位兼职的情况，不向采购单位和代理机构相关人员输送利益等行贿行为，一旦成交必须坚守诚信、认真履约等供应商承诺；（提供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供应商与采购人关联关系</w:t>
            </w:r>
          </w:p>
        </w:tc>
        <w:tc>
          <w:tcPr>
            <w:tcW w:type="dxa" w:w="3322"/>
          </w:tcPr>
          <w:p>
            <w:pPr>
              <w:pStyle w:val="null3"/>
            </w:pPr>
            <w:r>
              <w:rPr>
                <w:rFonts w:ascii="仿宋_GB2312" w:hAnsi="仿宋_GB2312" w:cs="仿宋_GB2312" w:eastAsia="仿宋_GB2312"/>
              </w:rPr>
              <w:t>本项目不接受由西安市疾病预防控制中心职工及其亲属投资开办的企业参加本单位的政府采购活动；（提供承诺函）</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磋商响应文件加盖供应商单位公章或签字</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供应商磋商报价未出现选择性报价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报价不得超出采购预算或最高限价</w:t>
            </w:r>
          </w:p>
        </w:tc>
        <w:tc>
          <w:tcPr>
            <w:tcW w:type="dxa" w:w="3322"/>
          </w:tcPr>
          <w:p>
            <w:pPr>
              <w:pStyle w:val="null3"/>
            </w:pPr>
            <w:r>
              <w:rPr>
                <w:rFonts w:ascii="仿宋_GB2312" w:hAnsi="仿宋_GB2312" w:cs="仿宋_GB2312" w:eastAsia="仿宋_GB2312"/>
              </w:rPr>
              <w:t>磋商报价未超出采购预算或最高限价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响应文件中技术、服务内容须达到采购要求，不得出现重大负偏差，降低服务要求</w:t>
            </w:r>
          </w:p>
        </w:tc>
        <w:tc>
          <w:tcPr>
            <w:tcW w:type="dxa" w:w="3322"/>
          </w:tcPr>
          <w:p>
            <w:pPr>
              <w:pStyle w:val="null3"/>
            </w:pPr>
            <w:r>
              <w:rPr>
                <w:rFonts w:ascii="仿宋_GB2312" w:hAnsi="仿宋_GB2312" w:cs="仿宋_GB2312" w:eastAsia="仿宋_GB2312"/>
              </w:rPr>
              <w:t>技术、服务内容达到采购要求，未出现重大负偏差，未降低了服务要求</w:t>
            </w:r>
          </w:p>
        </w:tc>
        <w:tc>
          <w:tcPr>
            <w:tcW w:type="dxa" w:w="1661"/>
          </w:tcPr>
          <w:p>
            <w:pPr>
              <w:pStyle w:val="null3"/>
            </w:pPr>
            <w:r>
              <w:rPr>
                <w:rFonts w:ascii="仿宋_GB2312" w:hAnsi="仿宋_GB2312" w:cs="仿宋_GB2312" w:eastAsia="仿宋_GB2312"/>
              </w:rPr>
              <w:t>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响应文件中不得附加了采购人难以接受的条件</w:t>
            </w:r>
          </w:p>
        </w:tc>
        <w:tc>
          <w:tcPr>
            <w:tcW w:type="dxa" w:w="3322"/>
          </w:tcPr>
          <w:p>
            <w:pPr>
              <w:pStyle w:val="null3"/>
            </w:pPr>
            <w:r>
              <w:rPr>
                <w:rFonts w:ascii="仿宋_GB2312" w:hAnsi="仿宋_GB2312" w:cs="仿宋_GB2312" w:eastAsia="仿宋_GB2312"/>
              </w:rPr>
              <w:t>响应文件中未附加采购人难以接受的条件</w:t>
            </w:r>
          </w:p>
        </w:tc>
        <w:tc>
          <w:tcPr>
            <w:tcW w:type="dxa" w:w="1661"/>
          </w:tcPr>
          <w:p>
            <w:pPr>
              <w:pStyle w:val="null3"/>
            </w:pPr>
            <w:r>
              <w:rPr>
                <w:rFonts w:ascii="仿宋_GB2312" w:hAnsi="仿宋_GB2312" w:cs="仿宋_GB2312" w:eastAsia="仿宋_GB2312"/>
              </w:rPr>
              <w:t>商务条款（合同条款）偏离表.docx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信用查询中列入失信被执行人、重大税收违法案件当事人名单、政府采购严重违法失信行为记录名单及其他不符合《中华人民共和国政府采购法》第二十二条规定条件的供应商，拒绝参与政府采购活动。</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w:t>
            </w:r>
          </w:p>
        </w:tc>
        <w:tc>
          <w:tcPr>
            <w:tcW w:type="dxa" w:w="2492"/>
          </w:tcPr>
          <w:p>
            <w:pPr>
              <w:pStyle w:val="null3"/>
            </w:pPr>
            <w:r>
              <w:rPr>
                <w:rFonts w:ascii="仿宋_GB2312" w:hAnsi="仿宋_GB2312" w:cs="仿宋_GB2312" w:eastAsia="仿宋_GB2312"/>
              </w:rPr>
              <w:t>依据供应商所投产品的主要技术指标、参数及性能等情况，以及与磋商文件技术要求的响应程度打分，每负偏离一项扣1分，扣完为止。 注：需提供磋商产品相应的技术资料，包括但不限于产品说明书、检验报告、官网截图等。</w:t>
            </w:r>
          </w:p>
        </w:tc>
        <w:tc>
          <w:tcPr>
            <w:tcW w:type="dxa" w:w="831"/>
          </w:tcPr>
          <w:p>
            <w:pPr>
              <w:pStyle w:val="null3"/>
              <w:jc w:val="right"/>
            </w:pPr>
            <w:r>
              <w:rPr>
                <w:rFonts w:ascii="仿宋_GB2312" w:hAnsi="仿宋_GB2312" w:cs="仿宋_GB2312" w:eastAsia="仿宋_GB2312"/>
              </w:rPr>
              <w:t>28.0000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1.针对本项目检测试剂的特点，提供试剂生产、配送过程中总体实施方案； 2.供货组织及进度计划安排； 3.组织机构人员配置、协调能力； 4.试剂仓储环境、设施设备及完整的储备系统； 5.试剂的冷链安全配送方案。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 保证</w:t>
            </w:r>
          </w:p>
        </w:tc>
        <w:tc>
          <w:tcPr>
            <w:tcW w:type="dxa" w:w="2492"/>
          </w:tcPr>
          <w:p>
            <w:pPr>
              <w:pStyle w:val="null3"/>
            </w:pPr>
            <w:r>
              <w:rPr>
                <w:rFonts w:ascii="仿宋_GB2312" w:hAnsi="仿宋_GB2312" w:cs="仿宋_GB2312" w:eastAsia="仿宋_GB2312"/>
              </w:rPr>
              <w:t>一、评审内容 1.试剂性能稳定性及安全性说明； 2.试剂性能灵敏性及特异性说明； 3.试剂生产技术、工艺先进性说明；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来源渠道</w:t>
            </w:r>
          </w:p>
        </w:tc>
        <w:tc>
          <w:tcPr>
            <w:tcW w:type="dxa" w:w="2492"/>
          </w:tcPr>
          <w:p>
            <w:pPr>
              <w:pStyle w:val="null3"/>
            </w:pPr>
            <w:r>
              <w:rPr>
                <w:rFonts w:ascii="仿宋_GB2312" w:hAnsi="仿宋_GB2312" w:cs="仿宋_GB2312" w:eastAsia="仿宋_GB2312"/>
              </w:rPr>
              <w:t>提供所有产品来源渠道合法的证明文件（包括但不限于销售协议、代理协议、原厂授权等），每提供一种产品的计1分，满分4分。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1.具有售后服务能力，具有相应的物力、人力保障； 2.针对本项目提供技术培训方案，包括培训时间、培训内容、培训人员、培训方式等，保障使用单位熟练使用； 3.应急突发情况的响应时效及解决方案； 二、评审标准 1.完整性:方案必须全面，对评审内容中的各项要求有详细描述; 2.可实施性:切合本项目实际情况，提出步骤清晰、合理的方案; 3.针对性:方案能够紧扣项目实际情况，内容科学合理。 三、赋分标准 以上每项每完全满足一个评审标准得1分，单项满分3分。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供应商提供2022年1月至今同类项目（检测试剂类）业绩，业绩以合同为依据，响应文件中附有其证明资料，每提供一个业绩证明计1分，满分5分。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