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版本号：HJCS2501-177(二次)20251205001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全国网上年货节西安专场活动(二次)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HJCS2501-177(二次)</w:t>
      </w:r>
      <w:r>
        <w:br/>
      </w:r>
      <w:r>
        <w:br/>
      </w:r>
      <w:r>
        <w:br/>
      </w:r>
    </w:p>
    <w:p>
      <w:pPr>
        <w:pStyle w:val="null3"/>
        <w:jc w:val="center"/>
        <w:outlineLvl w:val="2"/>
      </w:pPr>
      <w:r>
        <w:rPr>
          <w:rFonts w:ascii="仿宋_GB2312" w:hAnsi="仿宋_GB2312" w:cs="仿宋_GB2312" w:eastAsia="仿宋_GB2312"/>
          <w:sz w:val="28"/>
          <w:b/>
        </w:rPr>
        <w:t>西安市商务局（本级）</w:t>
      </w:r>
    </w:p>
    <w:p>
      <w:pPr>
        <w:pStyle w:val="null3"/>
        <w:jc w:val="center"/>
        <w:outlineLvl w:val="2"/>
      </w:pPr>
      <w:r>
        <w:rPr>
          <w:rFonts w:ascii="仿宋_GB2312" w:hAnsi="仿宋_GB2312" w:cs="仿宋_GB2312" w:eastAsia="仿宋_GB2312"/>
          <w:sz w:val="28"/>
          <w:b/>
        </w:rPr>
        <w:t>陕西海佳项目管理有限公司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陕西海佳项目管理有限公司</w:t>
      </w:r>
      <w:r>
        <w:rPr>
          <w:rFonts w:ascii="仿宋_GB2312" w:hAnsi="仿宋_GB2312" w:cs="仿宋_GB2312" w:eastAsia="仿宋_GB2312"/>
        </w:rPr>
        <w:t>（以下简称“代理机构”）受</w:t>
      </w:r>
      <w:r>
        <w:rPr>
          <w:rFonts w:ascii="仿宋_GB2312" w:hAnsi="仿宋_GB2312" w:cs="仿宋_GB2312" w:eastAsia="仿宋_GB2312"/>
        </w:rPr>
        <w:t>西安市商务局（本级）</w:t>
      </w:r>
      <w:r>
        <w:rPr>
          <w:rFonts w:ascii="仿宋_GB2312" w:hAnsi="仿宋_GB2312" w:cs="仿宋_GB2312" w:eastAsia="仿宋_GB2312"/>
        </w:rPr>
        <w:t>委托，拟对</w:t>
      </w:r>
      <w:r>
        <w:rPr>
          <w:rFonts w:ascii="仿宋_GB2312" w:hAnsi="仿宋_GB2312" w:cs="仿宋_GB2312" w:eastAsia="仿宋_GB2312"/>
        </w:rPr>
        <w:t>全国网上年货节西安专场活动(二次)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HJCS2501-177(二次)</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全国网上年货节西安专场活动(二次)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举办网络年货节是落实市政府大力推进电子商务应用，创新消费促进方式的有益探索之举。线上线下互动是当前最具活力的经济形态之一，正在成为促进消费的新途径和商贸流通创新发展新亮点。举办网络年货节旨在通过搭建线上线下促销活动平台，促进传统商贸零售企业、品牌企业与电子商务平台企业优势互补，加强服务资源整合，利用移动互联网、大数据等信息技术提升流通效率和服务质量，进一步拉动内需、扩大消费，促进我市消费市场持续健康发展。同时，全国网上年货节陕西西安专场活动也将实现西安市电商提档升级、特色农产品借网拓市、消费者享实惠共赢局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采购包1（全国网上年货节西安专场活动）：属于专门面向中小企业采购。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独立承担民事责任的能力：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p>
      <w:pPr>
        <w:pStyle w:val="null3"/>
      </w:pPr>
      <w:r>
        <w:rPr>
          <w:rFonts w:ascii="仿宋_GB2312" w:hAnsi="仿宋_GB2312" w:cs="仿宋_GB2312" w:eastAsia="仿宋_GB2312"/>
        </w:rPr>
        <w:t>2、良好的商业信誉和健全的财务会计制度：2023年度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3、有依法缴纳税收和社会保障资金的良好记录：提供2024年10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p>
      <w:pPr>
        <w:pStyle w:val="null3"/>
      </w:pPr>
      <w:r>
        <w:rPr>
          <w:rFonts w:ascii="仿宋_GB2312" w:hAnsi="仿宋_GB2312" w:cs="仿宋_GB2312" w:eastAsia="仿宋_GB2312"/>
        </w:rPr>
        <w:t>4、书面声明：（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p>
      <w:pPr>
        <w:pStyle w:val="null3"/>
      </w:pPr>
      <w:r>
        <w:rPr>
          <w:rFonts w:ascii="仿宋_GB2312" w:hAnsi="仿宋_GB2312" w:cs="仿宋_GB2312" w:eastAsia="仿宋_GB2312"/>
        </w:rPr>
        <w:t>5、法律、行政法规规定的其他条件：法定代表人直接参加投标的，须提供法定代表人身份证明；法定代表人授权代表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6、供应商企业关系关联及联合体说明：1.本项目不接受联合体磋商； 2.单位负责人为同一人或者存在直接控股、管理关系的不同供应商，不得参加同一合同项下的政府采购活动； 供应商需在项目电子化交易系统中按要求上传相应证明文件并进行电子签章</w:t>
      </w:r>
    </w:p>
    <w:p>
      <w:pPr>
        <w:pStyle w:val="null3"/>
      </w:pPr>
      <w:r>
        <w:rPr>
          <w:rFonts w:ascii="仿宋_GB2312" w:hAnsi="仿宋_GB2312" w:cs="仿宋_GB2312" w:eastAsia="仿宋_GB2312"/>
        </w:rPr>
        <w:t>7、本项目专门面向中小企业：供应商提供中小企业或监狱企业或残疾人福利单位的声明函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西安市商务局（本级）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029-67096567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陕西海佳项目管理有限公司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陕西省西安市雁塔区西安市高新区唐延路35号旺座现代城C座2604室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魏玉才、孙鹏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029-88765623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以中标金额为基数，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西安市商务局（本级）</w:t>
      </w:r>
      <w:r>
        <w:rPr>
          <w:rFonts w:ascii="仿宋_GB2312" w:hAnsi="仿宋_GB2312" w:cs="仿宋_GB2312" w:eastAsia="仿宋_GB2312"/>
        </w:rPr>
        <w:t>和</w:t>
      </w:r>
      <w:r>
        <w:rPr>
          <w:rFonts w:ascii="仿宋_GB2312" w:hAnsi="仿宋_GB2312" w:cs="仿宋_GB2312" w:eastAsia="仿宋_GB2312"/>
        </w:rPr>
        <w:t>陕西海佳项目管理有限公司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西安市商务局（本级）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陕西海佳项目管理有限公司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西安市商务局（本级）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陕西海佳项目管理有限公司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按照竞争性磋商采购文件及响应文件内容进行验收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陕西海佳项目管理有限公司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联系人：孙鹏</w:t>
      </w:r>
    </w:p>
    <w:p>
      <w:pPr>
        <w:pStyle w:val="null3"/>
      </w:pPr>
      <w:r>
        <w:rPr>
          <w:rFonts w:ascii="仿宋_GB2312" w:hAnsi="仿宋_GB2312" w:cs="仿宋_GB2312" w:eastAsia="仿宋_GB2312"/>
        </w:rPr>
        <w:t>联系电话：029-88765623</w:t>
      </w:r>
    </w:p>
    <w:p>
      <w:pPr>
        <w:pStyle w:val="null3"/>
      </w:pPr>
      <w:r>
        <w:rPr>
          <w:rFonts w:ascii="仿宋_GB2312" w:hAnsi="仿宋_GB2312" w:cs="仿宋_GB2312" w:eastAsia="仿宋_GB2312"/>
        </w:rPr>
        <w:t>地址：陕西省西安市唐延路35号旺座现代城C座2604室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举办网络年货节是落实市政府大力推进电子商务应用，创新消费促进方式的有益探索之举。线上线下互动是当前最具活力的经济形态之一，正在成为促进消费的新途径和商贸流通创新发展新亮点。举办网络年货节旨在通过搭建线上线下促销活动平台，促进传统商贸零售企业、品牌企业与电子商务平台企业优势互补，加强服务资源整合，利用移动互联网、大数据等信息技术提升流通效率和服务质量，进一步拉动内需、扩大消费，促进我市消费市场持续健康发展。同时，全国网上年货节陕西西安专场活动也将实现西安市电商提档升级、特色农产品借网拓市、消费者享实惠共赢局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全国网上年货节西安专场活动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标的名称：全国网上年货节西安专场活动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pPr>
            <w:r>
              <w:rPr>
                <w:rFonts w:ascii="仿宋_GB2312" w:hAnsi="仿宋_GB2312" w:cs="仿宋_GB2312" w:eastAsia="仿宋_GB2312"/>
                <w:sz w:val="24"/>
              </w:rPr>
              <w:t xml:space="preserve">   一、项目概况</w:t>
            </w:r>
          </w:p>
          <w:p>
            <w:pPr>
              <w:pStyle w:val="null3"/>
            </w:pPr>
            <w:r>
              <w:rPr>
                <w:rFonts w:ascii="仿宋_GB2312" w:hAnsi="仿宋_GB2312" w:cs="仿宋_GB2312" w:eastAsia="仿宋_GB2312"/>
                <w:sz w:val="24"/>
                <w:shd w:fill="FFFFFF" w:val="clear"/>
              </w:rPr>
              <w:t xml:space="preserve">  举办网络年货节是落实市政府大力推进电子商务应用，创新消费促进方式的有益探索之举。线上线下互动是当前最具活力的经济形态之一，正在成为促进消费的新途径和商贸流通创新发展新亮点。举办网络年货节旨在通过搭建线上线下促销活动平台，促进传统商贸零售企业、品牌企业与电子商务平台企业优势互补，加强服务资源整合，利用移动互联网、大数据等信息技术提升流通效率和服务质量，进一步拉动内需、扩大消费，促进我市消费市场持续健康发展。同时，全国网上年货节陕西西安专场活动也将实现西安市电商提档升级、特色农产品借网拓市、消费者享实惠共赢局面。</w:t>
            </w:r>
          </w:p>
          <w:p>
            <w:pPr>
              <w:pStyle w:val="null3"/>
              <w:ind w:firstLine="680"/>
            </w:pPr>
            <w:r>
              <w:rPr>
                <w:rFonts w:ascii="仿宋_GB2312" w:hAnsi="仿宋_GB2312" w:cs="仿宋_GB2312" w:eastAsia="仿宋_GB2312"/>
                <w:sz w:val="24"/>
              </w:rPr>
              <w:t>二、服务内容（包括工作区域、工作内容等）</w:t>
            </w:r>
          </w:p>
          <w:p>
            <w:pPr>
              <w:pStyle w:val="null3"/>
              <w:ind w:firstLine="640"/>
            </w:pPr>
            <w:r>
              <w:rPr>
                <w:rFonts w:ascii="仿宋_GB2312" w:hAnsi="仿宋_GB2312" w:cs="仿宋_GB2312" w:eastAsia="仿宋_GB2312"/>
                <w:sz w:val="24"/>
              </w:rPr>
              <w:t>全国网上年货节西安专场启动仪式及配套活动：</w:t>
            </w:r>
          </w:p>
          <w:p>
            <w:pPr>
              <w:pStyle w:val="null3"/>
              <w:ind w:firstLine="640"/>
            </w:pPr>
            <w:r>
              <w:rPr>
                <w:rFonts w:ascii="仿宋_GB2312" w:hAnsi="仿宋_GB2312" w:cs="仿宋_GB2312" w:eastAsia="仿宋_GB2312"/>
                <w:sz w:val="24"/>
              </w:rPr>
              <w:t>1、全国网上年货节西安专场启动仪式场地选择、会场搭建、音响调试、嘉宾（企业）邀请；</w:t>
            </w:r>
          </w:p>
          <w:p>
            <w:pPr>
              <w:pStyle w:val="null3"/>
              <w:ind w:firstLine="640"/>
            </w:pPr>
            <w:r>
              <w:rPr>
                <w:rFonts w:ascii="仿宋_GB2312" w:hAnsi="仿宋_GB2312" w:cs="仿宋_GB2312" w:eastAsia="仿宋_GB2312"/>
                <w:sz w:val="24"/>
              </w:rPr>
              <w:t>2、全国网上年货节西安专场活动整体物料设计、企业组织、平台对接、达人邀请、现场执行、主持人邀请、现场摄像摄影、各类文稿撰写、应急预案。</w:t>
            </w:r>
          </w:p>
          <w:p>
            <w:pPr>
              <w:pStyle w:val="null3"/>
              <w:ind w:firstLine="640"/>
            </w:pPr>
            <w:r>
              <w:rPr>
                <w:rFonts w:ascii="仿宋_GB2312" w:hAnsi="仿宋_GB2312" w:cs="仿宋_GB2312" w:eastAsia="仿宋_GB2312"/>
                <w:sz w:val="24"/>
              </w:rPr>
              <w:t>3、全国网上年货节西安专场活动相应的配套活动；</w:t>
            </w:r>
          </w:p>
          <w:p>
            <w:pPr>
              <w:pStyle w:val="null3"/>
              <w:ind w:firstLine="640"/>
            </w:pPr>
            <w:r>
              <w:rPr>
                <w:rFonts w:ascii="仿宋_GB2312" w:hAnsi="仿宋_GB2312" w:cs="仿宋_GB2312" w:eastAsia="仿宋_GB2312"/>
                <w:sz w:val="24"/>
              </w:rPr>
              <w:t>4、策划要求：策划全国网上年货节西安专场活动整体方案，包括全国网上年货节西安专场活动启动仪式、配套直播活动、活动需线上线下融合，包含演出、巡展等环节。</w:t>
            </w:r>
          </w:p>
          <w:p>
            <w:pPr>
              <w:pStyle w:val="null3"/>
              <w:ind w:firstLine="640"/>
            </w:pPr>
            <w:r>
              <w:rPr>
                <w:rFonts w:ascii="仿宋_GB2312" w:hAnsi="仿宋_GB2312" w:cs="仿宋_GB2312" w:eastAsia="仿宋_GB2312"/>
                <w:sz w:val="24"/>
              </w:rPr>
              <w:t>5、执行要求：（1）完成全国网上年货节西安专场活动启动仪式，开展配套直播活动不少于30场，参与商贸企业不少于30家；（2）邀请凸显西安特色的主播达人（不少于10人）参与；（3）开展线下年货进社区，方便大采购活动（不少于５个社区）（4）在规定的时间内，完成活动策划方案，设计具有亮点特色的活动会标、视觉KV，根据需要对方案进行完善，并严格执行方案，确保活动效果。</w:t>
            </w:r>
          </w:p>
          <w:p>
            <w:pPr>
              <w:pStyle w:val="null3"/>
              <w:ind w:firstLine="640"/>
            </w:pPr>
            <w:r>
              <w:rPr>
                <w:rFonts w:ascii="仿宋_GB2312" w:hAnsi="仿宋_GB2312" w:cs="仿宋_GB2312" w:eastAsia="仿宋_GB2312"/>
                <w:sz w:val="24"/>
              </w:rPr>
              <w:t>6、宣传要求：国家级主流媒体如新华社、人民网等，省级主要媒体，各大融媒体平台，短视频平台等，曝光量不少于1000万。</w:t>
            </w:r>
          </w:p>
          <w:p>
            <w:pPr>
              <w:pStyle w:val="null3"/>
              <w:spacing w:before="90"/>
              <w:ind w:firstLine="11"/>
            </w:pPr>
            <w:r>
              <w:rPr>
                <w:rFonts w:ascii="仿宋_GB2312" w:hAnsi="仿宋_GB2312" w:cs="仿宋_GB2312" w:eastAsia="仿宋_GB2312"/>
                <w:sz w:val="24"/>
              </w:rPr>
              <w:t>三、技术要求（如有，一般适合于技术服务项目）</w:t>
            </w:r>
          </w:p>
          <w:p>
            <w:pPr>
              <w:pStyle w:val="null3"/>
              <w:ind w:firstLine="640"/>
            </w:pPr>
            <w:r>
              <w:rPr>
                <w:rFonts w:ascii="仿宋_GB2312" w:hAnsi="仿宋_GB2312" w:cs="仿宋_GB2312" w:eastAsia="仿宋_GB2312"/>
                <w:sz w:val="24"/>
              </w:rPr>
              <w:t>参照国家相关规定执行</w:t>
            </w:r>
          </w:p>
          <w:p>
            <w:pPr>
              <w:pStyle w:val="null3"/>
              <w:ind w:firstLine="640"/>
            </w:pPr>
            <w:r>
              <w:rPr>
                <w:rFonts w:ascii="仿宋_GB2312" w:hAnsi="仿宋_GB2312" w:cs="仿宋_GB2312" w:eastAsia="仿宋_GB2312"/>
                <w:sz w:val="24"/>
              </w:rPr>
              <w:t>四、服务要求</w:t>
            </w:r>
          </w:p>
          <w:p>
            <w:pPr>
              <w:pStyle w:val="null3"/>
            </w:pPr>
            <w:r>
              <w:rPr>
                <w:rFonts w:ascii="仿宋_GB2312" w:hAnsi="仿宋_GB2312" w:cs="仿宋_GB2312" w:eastAsia="仿宋_GB2312"/>
                <w:sz w:val="24"/>
                <w:shd w:fill="FFFFFF" w:val="clear"/>
              </w:rPr>
              <w:t>在合同执行过程中，需要服务商组建专职服务团队，需要具备举办相关活动的资质及经验。</w:t>
            </w:r>
          </w:p>
          <w:p>
            <w:pPr>
              <w:pStyle w:val="null3"/>
            </w:pPr>
            <w:r>
              <w:rPr>
                <w:rFonts w:ascii="仿宋_GB2312" w:hAnsi="仿宋_GB2312" w:cs="仿宋_GB2312" w:eastAsia="仿宋_GB2312"/>
                <w:sz w:val="24"/>
              </w:rPr>
              <w:t>五、</w:t>
            </w:r>
            <w:r>
              <w:rPr>
                <w:rFonts w:ascii="仿宋_GB2312" w:hAnsi="仿宋_GB2312" w:cs="仿宋_GB2312" w:eastAsia="仿宋_GB2312"/>
                <w:sz w:val="24"/>
              </w:rPr>
              <w:t>其他（如有要求，请写明）</w:t>
            </w:r>
          </w:p>
          <w:p>
            <w:pPr>
              <w:pStyle w:val="null3"/>
              <w:ind w:firstLine="320"/>
            </w:pPr>
            <w:r>
              <w:rPr>
                <w:rFonts w:ascii="仿宋_GB2312" w:hAnsi="仿宋_GB2312" w:cs="仿宋_GB2312" w:eastAsia="仿宋_GB2312"/>
                <w:sz w:val="24"/>
              </w:rPr>
              <w:t>（一）对服务商的业绩要求</w:t>
            </w:r>
          </w:p>
          <w:p>
            <w:pPr>
              <w:pStyle w:val="null3"/>
            </w:pPr>
            <w:r>
              <w:rPr>
                <w:rFonts w:ascii="仿宋_GB2312" w:hAnsi="仿宋_GB2312" w:cs="仿宋_GB2312" w:eastAsia="仿宋_GB2312"/>
                <w:sz w:val="24"/>
              </w:rPr>
              <w:t xml:space="preserve">  供应商提供有关业绩合同。</w:t>
            </w:r>
          </w:p>
          <w:p>
            <w:pPr>
              <w:pStyle w:val="null3"/>
              <w:ind w:firstLine="320"/>
            </w:pPr>
            <w:r>
              <w:rPr>
                <w:rFonts w:ascii="仿宋_GB2312" w:hAnsi="仿宋_GB2312" w:cs="仿宋_GB2312" w:eastAsia="仿宋_GB2312"/>
                <w:sz w:val="24"/>
              </w:rPr>
              <w:t>（二）进度要求</w:t>
            </w:r>
          </w:p>
          <w:p>
            <w:pPr>
              <w:pStyle w:val="null3"/>
              <w:ind w:firstLine="640"/>
            </w:pPr>
            <w:r>
              <w:rPr>
                <w:rFonts w:ascii="仿宋_GB2312" w:hAnsi="仿宋_GB2312" w:cs="仿宋_GB2312" w:eastAsia="仿宋_GB2312"/>
                <w:sz w:val="24"/>
              </w:rPr>
              <w:t>1、2026年1月24日前完成整体方案准备工作。</w:t>
            </w:r>
          </w:p>
          <w:p>
            <w:pPr>
              <w:pStyle w:val="null3"/>
              <w:ind w:firstLine="640"/>
            </w:pPr>
            <w:r>
              <w:rPr>
                <w:rFonts w:ascii="仿宋_GB2312" w:hAnsi="仿宋_GB2312" w:cs="仿宋_GB2312" w:eastAsia="仿宋_GB2312"/>
                <w:sz w:val="24"/>
              </w:rPr>
              <w:t>2、活动结束后20日内完成资料整理、总结等工作。</w:t>
            </w:r>
          </w:p>
          <w:p>
            <w:pPr>
              <w:pStyle w:val="null3"/>
              <w:ind w:firstLine="320"/>
            </w:pPr>
            <w:r>
              <w:rPr>
                <w:rFonts w:ascii="仿宋_GB2312" w:hAnsi="仿宋_GB2312" w:cs="仿宋_GB2312" w:eastAsia="仿宋_GB2312"/>
                <w:sz w:val="24"/>
              </w:rPr>
              <w:t>（三）成果交付要求</w:t>
            </w:r>
          </w:p>
          <w:p>
            <w:pPr>
              <w:pStyle w:val="null3"/>
              <w:ind w:firstLine="640"/>
            </w:pPr>
            <w:r>
              <w:rPr>
                <w:rFonts w:ascii="仿宋_GB2312" w:hAnsi="仿宋_GB2312" w:cs="仿宋_GB2312" w:eastAsia="仿宋_GB2312"/>
                <w:sz w:val="24"/>
              </w:rPr>
              <w:t>按合同约定条款，保质保量完成整体活动执行，以文、图、视频形式整理成完整验收报告。</w:t>
            </w:r>
          </w:p>
          <w:p>
            <w:pPr>
              <w:pStyle w:val="null3"/>
              <w:ind w:firstLine="320"/>
            </w:pPr>
            <w:r>
              <w:rPr>
                <w:rFonts w:ascii="仿宋_GB2312" w:hAnsi="仿宋_GB2312" w:cs="仿宋_GB2312" w:eastAsia="仿宋_GB2312"/>
                <w:sz w:val="24"/>
              </w:rPr>
              <w:t>（四）质量验收标准或规范</w:t>
            </w:r>
          </w:p>
          <w:p>
            <w:pPr>
              <w:pStyle w:val="null3"/>
              <w:ind w:firstLine="640"/>
            </w:pPr>
            <w:r>
              <w:rPr>
                <w:rFonts w:ascii="仿宋_GB2312" w:hAnsi="仿宋_GB2312" w:cs="仿宋_GB2312" w:eastAsia="仿宋_GB2312"/>
                <w:sz w:val="24"/>
              </w:rPr>
              <w:t>1、服务期满后按照成交供应商所提供的资料及数据进行验收；</w:t>
            </w:r>
          </w:p>
          <w:p>
            <w:pPr>
              <w:pStyle w:val="null3"/>
              <w:ind w:firstLine="640"/>
            </w:pPr>
            <w:r>
              <w:rPr>
                <w:rFonts w:ascii="仿宋_GB2312" w:hAnsi="仿宋_GB2312" w:cs="仿宋_GB2312" w:eastAsia="仿宋_GB2312"/>
                <w:sz w:val="24"/>
              </w:rPr>
              <w:t>2、最终验收：自合同签订之日起至完成全部项目内容，需按照采购人确定的时间完成交付并验收合格，验收合格后，填写验收单。</w:t>
            </w:r>
          </w:p>
          <w:p>
            <w:pPr>
              <w:pStyle w:val="null3"/>
              <w:ind w:firstLine="640"/>
            </w:pPr>
            <w:r>
              <w:rPr>
                <w:rFonts w:ascii="仿宋_GB2312" w:hAnsi="仿宋_GB2312" w:cs="仿宋_GB2312" w:eastAsia="仿宋_GB2312"/>
                <w:sz w:val="24"/>
              </w:rPr>
              <w:t>3、验收和评价方式</w:t>
            </w:r>
          </w:p>
          <w:p>
            <w:pPr>
              <w:pStyle w:val="null3"/>
              <w:ind w:firstLine="640"/>
            </w:pPr>
            <w:r>
              <w:rPr>
                <w:rFonts w:ascii="仿宋_GB2312" w:hAnsi="仿宋_GB2312" w:cs="仿宋_GB2312" w:eastAsia="仿宋_GB2312"/>
                <w:sz w:val="24"/>
              </w:rPr>
              <w:t>3.1  乙方提供的服务最终验收达不到磋商文件要求和磋商响应文件承诺及国家或行业标准，或在使用中发现甲方不能容忍的缺陷等，将视为验收不合格，乙方应在甲方要求的时间内无条件完善或要求赔付采购人损失。</w:t>
            </w:r>
          </w:p>
          <w:p>
            <w:pPr>
              <w:pStyle w:val="null3"/>
              <w:ind w:firstLine="640"/>
            </w:pPr>
            <w:r>
              <w:rPr>
                <w:rFonts w:ascii="仿宋_GB2312" w:hAnsi="仿宋_GB2312" w:cs="仿宋_GB2312" w:eastAsia="仿宋_GB2312"/>
                <w:sz w:val="24"/>
              </w:rPr>
              <w:t>3.2  若发现乙方有弄虚作假的，及在项目实施阶段故意或随意夸大服务，本项目合同解除，乙方赔偿甲方相应的损失。</w:t>
            </w:r>
          </w:p>
          <w:p>
            <w:pPr>
              <w:pStyle w:val="null3"/>
              <w:ind w:firstLine="640"/>
            </w:pPr>
            <w:r>
              <w:rPr>
                <w:rFonts w:ascii="仿宋_GB2312" w:hAnsi="仿宋_GB2312" w:cs="仿宋_GB2312" w:eastAsia="仿宋_GB2312"/>
                <w:sz w:val="24"/>
              </w:rPr>
              <w:t>3.3  验收标准：按磋商文件、磋商响应文件等服务指标进行逐项验收，各项指标均应符合验收标准及要求。</w:t>
            </w:r>
          </w:p>
          <w:p>
            <w:pPr>
              <w:pStyle w:val="null3"/>
              <w:ind w:firstLine="640"/>
            </w:pPr>
            <w:r>
              <w:rPr>
                <w:rFonts w:ascii="仿宋_GB2312" w:hAnsi="仿宋_GB2312" w:cs="仿宋_GB2312" w:eastAsia="仿宋_GB2312"/>
                <w:sz w:val="24"/>
              </w:rPr>
              <w:t>3.4  验收合格后，填写验收单，双方盖章、签字生效。</w:t>
            </w:r>
          </w:p>
          <w:p>
            <w:pPr>
              <w:pStyle w:val="null3"/>
              <w:ind w:firstLine="640"/>
            </w:pPr>
            <w:r>
              <w:rPr>
                <w:rFonts w:ascii="仿宋_GB2312" w:hAnsi="仿宋_GB2312" w:cs="仿宋_GB2312" w:eastAsia="仿宋_GB2312"/>
                <w:sz w:val="24"/>
              </w:rPr>
              <w:t>3.5  验收依据</w:t>
            </w:r>
          </w:p>
          <w:p>
            <w:pPr>
              <w:pStyle w:val="null3"/>
              <w:ind w:firstLine="640"/>
            </w:pPr>
            <w:r>
              <w:rPr>
                <w:rFonts w:ascii="仿宋_GB2312" w:hAnsi="仿宋_GB2312" w:cs="仿宋_GB2312" w:eastAsia="仿宋_GB2312"/>
                <w:sz w:val="24"/>
              </w:rPr>
              <w:t>3.5.1  合同文本。</w:t>
            </w:r>
          </w:p>
          <w:p>
            <w:pPr>
              <w:pStyle w:val="null3"/>
              <w:ind w:firstLine="640"/>
            </w:pPr>
            <w:r>
              <w:rPr>
                <w:rFonts w:ascii="仿宋_GB2312" w:hAnsi="仿宋_GB2312" w:cs="仿宋_GB2312" w:eastAsia="仿宋_GB2312"/>
                <w:sz w:val="24"/>
              </w:rPr>
              <w:t>3.5.2  磋商响应文件、磋商文件、澄清函。</w:t>
            </w:r>
          </w:p>
          <w:p>
            <w:pPr>
              <w:pStyle w:val="null3"/>
              <w:ind w:firstLine="640"/>
            </w:pPr>
            <w:r>
              <w:rPr>
                <w:rFonts w:ascii="仿宋_GB2312" w:hAnsi="仿宋_GB2312" w:cs="仿宋_GB2312" w:eastAsia="仿宋_GB2312"/>
                <w:sz w:val="24"/>
              </w:rPr>
              <w:t>3.5.3  国家和行业制定的相应的标准和规范。</w:t>
            </w:r>
          </w:p>
          <w:p>
            <w:pPr>
              <w:pStyle w:val="null3"/>
              <w:ind w:firstLine="640"/>
            </w:pPr>
            <w:r>
              <w:rPr>
                <w:rFonts w:ascii="仿宋_GB2312" w:hAnsi="仿宋_GB2312" w:cs="仿宋_GB2312" w:eastAsia="仿宋_GB2312"/>
                <w:sz w:val="24"/>
              </w:rPr>
              <w:t>（五）违约责任</w:t>
            </w:r>
          </w:p>
          <w:p>
            <w:pPr>
              <w:pStyle w:val="null3"/>
              <w:ind w:firstLine="640"/>
            </w:pPr>
            <w:r>
              <w:rPr>
                <w:rFonts w:ascii="仿宋_GB2312" w:hAnsi="仿宋_GB2312" w:cs="仿宋_GB2312" w:eastAsia="仿宋_GB2312"/>
                <w:sz w:val="24"/>
              </w:rPr>
              <w:t>1、按《民法典》中的相关条款执行。</w:t>
            </w:r>
          </w:p>
          <w:p>
            <w:pPr>
              <w:pStyle w:val="null3"/>
              <w:ind w:firstLine="640"/>
            </w:pPr>
            <w:r>
              <w:rPr>
                <w:rFonts w:ascii="仿宋_GB2312" w:hAnsi="仿宋_GB2312" w:cs="仿宋_GB2312" w:eastAsia="仿宋_GB2312"/>
                <w:sz w:val="24"/>
              </w:rPr>
              <w:t>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w:t>
            </w:r>
          </w:p>
          <w:p>
            <w:pPr>
              <w:pStyle w:val="null3"/>
              <w:ind w:firstLine="640"/>
            </w:pPr>
            <w:r>
              <w:rPr>
                <w:rFonts w:ascii="仿宋_GB2312" w:hAnsi="仿宋_GB2312" w:cs="仿宋_GB2312" w:eastAsia="仿宋_GB2312"/>
                <w:sz w:val="24"/>
              </w:rPr>
              <w:t>3、因为不可抗力因素造成无法按照原计划提供服务，双方互不追究违约责任，供应商如未按照采购要求完成服务内容，除应赔偿采购人所受全部损失以外，还应承担本合同总额20%的违约金。</w:t>
            </w:r>
          </w:p>
          <w:p>
            <w:pPr>
              <w:pStyle w:val="null3"/>
            </w:pPr>
            <w:r>
              <w:rPr>
                <w:rFonts w:ascii="仿宋_GB2312" w:hAnsi="仿宋_GB2312" w:cs="仿宋_GB2312" w:eastAsia="仿宋_GB2312"/>
                <w:sz w:val="24"/>
              </w:rPr>
              <w:t xml:space="preserve">  4、如有异议另行协商。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满足项目要求，供应商根据单位自身及项目实际情况自主配置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自合同签订之日起至项目结束。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1、服务期满后按照成交供应商所提供的资料及数据进行验收； 2、最终验收：自合同签订之日起至完成全部项目内容，需按照采购人确定的时间完成交付并验收合格，验收合格后，填写验收单。 3、验收和评价方式 3.1 乙方提供的服务最终验收达不到磋商文件要求和磋商响应文件承诺及国家或行业标准，或在使用中发现甲方不能容忍的缺陷等，将视为验收不合格，乙方应在甲方要求的时间内无条件完善或要求赔付采购人损失。 3.2 若发现乙方有弄虚作假的，及在项目实施阶段故意或随意夸大服务，本项目合同解除，乙方赔偿甲方相应的损失。 3.3 验收标准：按磋商文件、磋商响应文件等服务指标进行逐项验收，各项指标均应符合验收标准及要求。 3.4 验收合格后，填写验收单，双方盖章、签字生效。 3.5 验收依据 3.5.1 合同文本。 3.5.2 磋商响应文件、磋商文件、澄清函。 3.5.3 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完成合同约定全部服务内容并验收合格后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 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 3、因为不可抗力因素造成无法按照原计划提供服务，双方互不追究违约责任，供应商如未按照采购要求完成服务内容，除应赔偿采购人所受全部损失以外，还应承担本合同总额20%的违约金。 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独立承担民事责任的能力</w:t>
            </w:r>
          </w:p>
        </w:tc>
        <w:tc>
          <w:tcPr>
            <w:tcW w:type="dxa" w:w="3322"/>
          </w:tcPr>
          <w:p>
            <w:pPr>
              <w:pStyle w:val="null3"/>
            </w:pPr>
            <w:r>
              <w:rPr>
                <w:rFonts w:ascii="仿宋_GB2312" w:hAnsi="仿宋_GB2312" w:cs="仿宋_GB2312" w:eastAsia="仿宋_GB2312"/>
              </w:rPr>
              <w:t>合法注册的法人应提供营业执照（或事业法人证）、组织机构代码证、税务登记证或统一社会信用代码的营业执照或其他组织应提供合法证明文件或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良好的商业信誉和健全的财务会计制度</w:t>
            </w:r>
          </w:p>
        </w:tc>
        <w:tc>
          <w:tcPr>
            <w:tcW w:type="dxa" w:w="3322"/>
          </w:tcPr>
          <w:p>
            <w:pPr>
              <w:pStyle w:val="null3"/>
            </w:pPr>
            <w:r>
              <w:rPr>
                <w:rFonts w:ascii="仿宋_GB2312" w:hAnsi="仿宋_GB2312" w:cs="仿宋_GB2312" w:eastAsia="仿宋_GB2312"/>
              </w:rPr>
              <w:t>2023年度或2024年度经审计的财务报告或在2025年1月1日至今其基本开户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有依法缴纳税收和社会保障资金的良好记录</w:t>
            </w:r>
          </w:p>
        </w:tc>
        <w:tc>
          <w:tcPr>
            <w:tcW w:type="dxa" w:w="3322"/>
          </w:tcPr>
          <w:p>
            <w:pPr>
              <w:pStyle w:val="null3"/>
            </w:pPr>
            <w:r>
              <w:rPr>
                <w:rFonts w:ascii="仿宋_GB2312" w:hAnsi="仿宋_GB2312" w:cs="仿宋_GB2312" w:eastAsia="仿宋_GB2312"/>
              </w:rPr>
              <w:t>提供2024年10月1日至今任意时段的缴纳证明，依法免税或不需要缴纳社会保障资金的投标人须提供相应证明文件，事业单位法人可不提供社会保障资金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1）参加本次政府采购活动前三年内在经营活动中没有重大违纪，以及未被列入失信被执行人、重大税收违法失信主体、政府采购严重违法失信行为记录名单的书面声明；（2）提供具有履行本合同所必需的设备和专业技术能力的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法律、行政法规规定的其他条件</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供应商企业关系关联及联合体说明</w:t>
            </w:r>
          </w:p>
        </w:tc>
        <w:tc>
          <w:tcPr>
            <w:tcW w:type="dxa" w:w="3322"/>
          </w:tcPr>
          <w:p>
            <w:pPr>
              <w:pStyle w:val="null3"/>
            </w:pPr>
            <w:r>
              <w:rPr>
                <w:rFonts w:ascii="仿宋_GB2312" w:hAnsi="仿宋_GB2312" w:cs="仿宋_GB2312" w:eastAsia="仿宋_GB2312"/>
              </w:rPr>
              <w:t>1.本项目不接受联合体磋商； 2.单位负责人为同一人或者存在直接控股、管理关系的不同供应商，不得参加同一合同项下的政府采购活动；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本项目专门面向中小企业</w:t>
            </w:r>
          </w:p>
        </w:tc>
        <w:tc>
          <w:tcPr>
            <w:tcW w:type="dxa" w:w="3322"/>
          </w:tcPr>
          <w:p>
            <w:pPr>
              <w:pStyle w:val="null3"/>
            </w:pPr>
            <w:r>
              <w:rPr>
                <w:rFonts w:ascii="仿宋_GB2312" w:hAnsi="仿宋_GB2312" w:cs="仿宋_GB2312" w:eastAsia="仿宋_GB2312"/>
              </w:rPr>
              <w:t>供应商提供中小企业或监狱企业或残疾人福利单位的声明函</w:t>
            </w:r>
          </w:p>
        </w:tc>
        <w:tc>
          <w:tcPr>
            <w:tcW w:type="dxa" w:w="1661"/>
          </w:tcPr>
          <w:p>
            <w:pPr>
              <w:pStyle w:val="null3"/>
            </w:pPr>
            <w:r>
              <w:rPr>
                <w:rFonts w:ascii="仿宋_GB2312" w:hAnsi="仿宋_GB2312" w:cs="仿宋_GB2312" w:eastAsia="仿宋_GB2312"/>
              </w:rPr>
              <w:t>残疾人福利性单位声明函 中小企业声明函 供应商应提交的相关资格证明材料1.docx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商务应答表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商务应答表 采购需求偏离表.docx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项目了解</w:t>
            </w:r>
          </w:p>
        </w:tc>
        <w:tc>
          <w:tcPr>
            <w:tcW w:type="dxa" w:w="2492"/>
          </w:tcPr>
          <w:p>
            <w:pPr>
              <w:pStyle w:val="null3"/>
            </w:pPr>
            <w:r>
              <w:rPr>
                <w:rFonts w:ascii="仿宋_GB2312" w:hAnsi="仿宋_GB2312" w:cs="仿宋_GB2312" w:eastAsia="仿宋_GB2312"/>
              </w:rPr>
              <w:t>对本项目的工作内容理解清晰、全面，能清楚描述本次服务目标。分析详尽全面，具体描述合理得当，赋分5分；分析比较全面，具体描述比较合理，赋分3分；分析不充分，具体描述有欠妥当，赋分1分。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场地选择</w:t>
            </w:r>
          </w:p>
        </w:tc>
        <w:tc>
          <w:tcPr>
            <w:tcW w:type="dxa" w:w="2492"/>
          </w:tcPr>
          <w:p>
            <w:pPr>
              <w:pStyle w:val="null3"/>
            </w:pPr>
            <w:r>
              <w:rPr>
                <w:rFonts w:ascii="仿宋_GB2312" w:hAnsi="仿宋_GB2312" w:cs="仿宋_GB2312" w:eastAsia="仿宋_GB2312"/>
              </w:rPr>
              <w:t>根据各供应商为本项目提供的场地选择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会场搭建</w:t>
            </w:r>
          </w:p>
        </w:tc>
        <w:tc>
          <w:tcPr>
            <w:tcW w:type="dxa" w:w="2492"/>
          </w:tcPr>
          <w:p>
            <w:pPr>
              <w:pStyle w:val="null3"/>
            </w:pPr>
            <w:r>
              <w:rPr>
                <w:rFonts w:ascii="仿宋_GB2312" w:hAnsi="仿宋_GB2312" w:cs="仿宋_GB2312" w:eastAsia="仿宋_GB2312"/>
              </w:rPr>
              <w:t>根据各供应商为本项目提供的会场搭建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音响调试</w:t>
            </w:r>
          </w:p>
        </w:tc>
        <w:tc>
          <w:tcPr>
            <w:tcW w:type="dxa" w:w="2492"/>
          </w:tcPr>
          <w:p>
            <w:pPr>
              <w:pStyle w:val="null3"/>
            </w:pPr>
            <w:r>
              <w:rPr>
                <w:rFonts w:ascii="仿宋_GB2312" w:hAnsi="仿宋_GB2312" w:cs="仿宋_GB2312" w:eastAsia="仿宋_GB2312"/>
              </w:rPr>
              <w:t>根据各供应商为本项目提供的音响调试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嘉宾（企业）邀请</w:t>
            </w:r>
          </w:p>
        </w:tc>
        <w:tc>
          <w:tcPr>
            <w:tcW w:type="dxa" w:w="2492"/>
          </w:tcPr>
          <w:p>
            <w:pPr>
              <w:pStyle w:val="null3"/>
            </w:pPr>
            <w:r>
              <w:rPr>
                <w:rFonts w:ascii="仿宋_GB2312" w:hAnsi="仿宋_GB2312" w:cs="仿宋_GB2312" w:eastAsia="仿宋_GB2312"/>
              </w:rPr>
              <w:t>根据各供应商为本项目提供的嘉宾（企业）邀请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整体物料设计</w:t>
            </w:r>
          </w:p>
        </w:tc>
        <w:tc>
          <w:tcPr>
            <w:tcW w:type="dxa" w:w="2492"/>
          </w:tcPr>
          <w:p>
            <w:pPr>
              <w:pStyle w:val="null3"/>
            </w:pPr>
            <w:r>
              <w:rPr>
                <w:rFonts w:ascii="仿宋_GB2312" w:hAnsi="仿宋_GB2312" w:cs="仿宋_GB2312" w:eastAsia="仿宋_GB2312"/>
              </w:rPr>
              <w:t>根据各供应商为本项目提供的整体物料设计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企业组织</w:t>
            </w:r>
          </w:p>
        </w:tc>
        <w:tc>
          <w:tcPr>
            <w:tcW w:type="dxa" w:w="2492"/>
          </w:tcPr>
          <w:p>
            <w:pPr>
              <w:pStyle w:val="null3"/>
            </w:pPr>
            <w:r>
              <w:rPr>
                <w:rFonts w:ascii="仿宋_GB2312" w:hAnsi="仿宋_GB2312" w:cs="仿宋_GB2312" w:eastAsia="仿宋_GB2312"/>
              </w:rPr>
              <w:t>根据各供应商为本项目提供的企业组织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平台对接</w:t>
            </w:r>
          </w:p>
        </w:tc>
        <w:tc>
          <w:tcPr>
            <w:tcW w:type="dxa" w:w="2492"/>
          </w:tcPr>
          <w:p>
            <w:pPr>
              <w:pStyle w:val="null3"/>
            </w:pPr>
            <w:r>
              <w:rPr>
                <w:rFonts w:ascii="仿宋_GB2312" w:hAnsi="仿宋_GB2312" w:cs="仿宋_GB2312" w:eastAsia="仿宋_GB2312"/>
              </w:rPr>
              <w:t>根据各供应商为本项目提供的平台对接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达人邀请</w:t>
            </w:r>
          </w:p>
        </w:tc>
        <w:tc>
          <w:tcPr>
            <w:tcW w:type="dxa" w:w="2492"/>
          </w:tcPr>
          <w:p>
            <w:pPr>
              <w:pStyle w:val="null3"/>
            </w:pPr>
            <w:r>
              <w:rPr>
                <w:rFonts w:ascii="仿宋_GB2312" w:hAnsi="仿宋_GB2312" w:cs="仿宋_GB2312" w:eastAsia="仿宋_GB2312"/>
              </w:rPr>
              <w:t>根据各供应商为本项目提供的达人邀请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现场执行</w:t>
            </w:r>
          </w:p>
        </w:tc>
        <w:tc>
          <w:tcPr>
            <w:tcW w:type="dxa" w:w="2492"/>
          </w:tcPr>
          <w:p>
            <w:pPr>
              <w:pStyle w:val="null3"/>
            </w:pPr>
            <w:r>
              <w:rPr>
                <w:rFonts w:ascii="仿宋_GB2312" w:hAnsi="仿宋_GB2312" w:cs="仿宋_GB2312" w:eastAsia="仿宋_GB2312"/>
              </w:rPr>
              <w:t>根据各供应商为本项目提供的现场执行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现场摄像摄影</w:t>
            </w:r>
          </w:p>
        </w:tc>
        <w:tc>
          <w:tcPr>
            <w:tcW w:type="dxa" w:w="2492"/>
          </w:tcPr>
          <w:p>
            <w:pPr>
              <w:pStyle w:val="null3"/>
            </w:pPr>
            <w:r>
              <w:rPr>
                <w:rFonts w:ascii="仿宋_GB2312" w:hAnsi="仿宋_GB2312" w:cs="仿宋_GB2312" w:eastAsia="仿宋_GB2312"/>
              </w:rPr>
              <w:t>根据各供应商为本项目提供的现场摄像摄影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各类文稿撰写</w:t>
            </w:r>
          </w:p>
        </w:tc>
        <w:tc>
          <w:tcPr>
            <w:tcW w:type="dxa" w:w="2492"/>
          </w:tcPr>
          <w:p>
            <w:pPr>
              <w:pStyle w:val="null3"/>
            </w:pPr>
            <w:r>
              <w:rPr>
                <w:rFonts w:ascii="仿宋_GB2312" w:hAnsi="仿宋_GB2312" w:cs="仿宋_GB2312" w:eastAsia="仿宋_GB2312"/>
              </w:rPr>
              <w:t>根据各供应商为本项目提供的各类文稿撰写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各供应商为本项目提供的应急预案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配套活动</w:t>
            </w:r>
          </w:p>
        </w:tc>
        <w:tc>
          <w:tcPr>
            <w:tcW w:type="dxa" w:w="2492"/>
          </w:tcPr>
          <w:p>
            <w:pPr>
              <w:pStyle w:val="null3"/>
            </w:pPr>
            <w:r>
              <w:rPr>
                <w:rFonts w:ascii="仿宋_GB2312" w:hAnsi="仿宋_GB2312" w:cs="仿宋_GB2312" w:eastAsia="仿宋_GB2312"/>
              </w:rPr>
              <w:t>根据各供应商为本项目提供的配套活动包括不限于①线下年货进社区、②直播活动等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宣传</w:t>
            </w:r>
          </w:p>
        </w:tc>
        <w:tc>
          <w:tcPr>
            <w:tcW w:type="dxa" w:w="2492"/>
          </w:tcPr>
          <w:p>
            <w:pPr>
              <w:pStyle w:val="null3"/>
            </w:pPr>
            <w:r>
              <w:rPr>
                <w:rFonts w:ascii="仿宋_GB2312" w:hAnsi="仿宋_GB2312" w:cs="仿宋_GB2312" w:eastAsia="仿宋_GB2312"/>
              </w:rPr>
              <w:t>根据各供应商为本项目提供的宣传方案，由磋商小组进行评分：方案完整、详尽、计划合理、可行、满足项目需求的得5分；方案完整，总体科学合理、可行，虽存在部分内容表述不清但满足项目需求的得3分；方案不满足项目需求的得1分；未提供方案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人员及设备</w:t>
            </w:r>
          </w:p>
        </w:tc>
        <w:tc>
          <w:tcPr>
            <w:tcW w:type="dxa" w:w="2492"/>
          </w:tcPr>
          <w:p>
            <w:pPr>
              <w:pStyle w:val="null3"/>
            </w:pPr>
            <w:r>
              <w:rPr>
                <w:rFonts w:ascii="仿宋_GB2312" w:hAnsi="仿宋_GB2312" w:cs="仿宋_GB2312" w:eastAsia="仿宋_GB2312"/>
              </w:rPr>
              <w:t>针对本项目特点提供包括人员组织架构、职业技术配置、技术人员素质标准，服务团队满足年货节线上线下需求。人员配备全面，经验丰富，证书齐全，具体岗位职责合理得当，赋分5分；人员比较全面，经验较为丰富，证书基本齐全，具体岗位职责比较合理，赋分3分；人员欠缺，经验不足，证书欠缺，具体岗位职责有欠妥当，赋分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服务方案1.docx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供应商具有（2022年1月至今，以合同签订的日期为准）同类项目业绩，每提供1份计1分，满分10分。 注：响应文件中提供合同复印件加盖供应商公章。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服务方案1.docx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2.磋商总报价得分=(磋商基准价／最终磋商总报价)×10 注：计算分数时四舍五入取小数点后两位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详见附件：服务方案1.docx</w:t>
      </w:r>
    </w:p>
    <w:p>
      <w:pPr>
        <w:pStyle w:val="null3"/>
        <w:ind w:firstLine="960"/>
      </w:pPr>
      <w:r>
        <w:rPr>
          <w:rFonts w:ascii="仿宋_GB2312" w:hAnsi="仿宋_GB2312" w:cs="仿宋_GB2312" w:eastAsia="仿宋_GB2312"/>
        </w:rPr>
        <w:t>详见附件：供应商应提交的相关资格证明材料1.docx</w:t>
      </w:r>
    </w:p>
    <w:p>
      <w:pPr>
        <w:pStyle w:val="null3"/>
        <w:ind w:firstLine="960"/>
      </w:pPr>
      <w:r>
        <w:rPr>
          <w:rFonts w:ascii="仿宋_GB2312" w:hAnsi="仿宋_GB2312" w:cs="仿宋_GB2312" w:eastAsia="仿宋_GB2312"/>
        </w:rPr>
        <w:t>详见附件：采购需求偏离表.docx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