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版本号：ZMZB2025DYYY-48820251205001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HIS和集成平台系统维保采购项目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ZMZB2025DYYY-488</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HIS和集成平台系统维保采购项目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ZMZB2025DYYY-488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HIS和集成平台系统维保采购项目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HIS和集成平台系统维保采购项目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4、税收缴纳证明：提供2025年1月（含1月）以来至少一个月的纳税证明或完税证明（时间以税款所属时期为准），依法免税的单位应提供相关证明材料</w:t>
      </w:r>
    </w:p>
    <w:p>
      <w:pPr>
        <w:pStyle w:val="null3"/>
      </w:pPr>
      <w:r>
        <w:rPr>
          <w:rFonts w:ascii="仿宋_GB2312" w:hAnsi="仿宋_GB2312" w:cs="仿宋_GB2312" w:eastAsia="仿宋_GB2312"/>
        </w:rPr>
        <w:t>5、社会保障资金缴纳证明：提供2025年1月（含1月）以来至少一个月的社会保障资金缴存单据或社保机构开具的社会保险参保缴费情况证明。依法不需要缴纳社会保障资金的供应商应提供相关文件证明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 3 年内在经营活动中没有重大违法记录的书面声明：参加政府采购活动前 3 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被授权人身份证及开标截止前连续近三个月在投标单位缴纳的社会保险证明，法定代表人参加投标时,只需提供法定代表人身份证；</w:t>
      </w:r>
    </w:p>
    <w:p>
      <w:pPr>
        <w:pStyle w:val="null3"/>
      </w:pPr>
      <w:r>
        <w:rPr>
          <w:rFonts w:ascii="仿宋_GB2312" w:hAnsi="仿宋_GB2312" w:cs="仿宋_GB2312" w:eastAsia="仿宋_GB2312"/>
        </w:rPr>
        <w:t>8、控股关系：供应商与其他投标单位无交叉控股股东、无交叉兼任高级管理人员及涉嫌联合串标行为，无采购单位和招标代理机构职工在该单位兼职的情况，不向采购单位和代理机构相关人员输送利益等行贿行为(提供承诺书)</w:t>
      </w:r>
    </w:p>
    <w:p>
      <w:pPr>
        <w:pStyle w:val="null3"/>
      </w:pPr>
      <w:r>
        <w:rPr>
          <w:rFonts w:ascii="仿宋_GB2312" w:hAnsi="仿宋_GB2312" w:cs="仿宋_GB2312" w:eastAsia="仿宋_GB2312"/>
        </w:rPr>
        <w:t>9、本项目不接受由西安市第一医院职工及其亲属投资举办的企业参加投标：本项目不接受由西安市第一医院职工及其亲属投资举办的企业参加投标(提供承诺书)</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收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按采购文件和投标文件执行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现已具备HIS、LIS、PACS、电子病历、集成平台、手术麻醉、心电等信息系统，HIS系统已经满足临床业务需求并实现业务科室全面覆盖，全院主要业务系统已经与集成平台完成对接，集成平台可实现业务数据转发功能，保障各业务系统平稳、高效运行，为各临床业务科室日常工作提供有力的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HIS和集成平台系统维保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标的名称：HIS和集成平台系统维保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1.维保服务要求</w:t>
            </w:r>
          </w:p>
          <w:p>
            <w:pPr>
              <w:pStyle w:val="null3"/>
              <w:jc w:val="both"/>
            </w:pPr>
            <w:r>
              <w:rPr>
                <w:rFonts w:ascii="仿宋_GB2312" w:hAnsi="仿宋_GB2312" w:cs="仿宋_GB2312" w:eastAsia="仿宋_GB2312"/>
                <w:sz w:val="22"/>
              </w:rPr>
              <w:t>保障医院的核心业务系统</w:t>
            </w:r>
            <w:r>
              <w:rPr>
                <w:rFonts w:ascii="仿宋_GB2312" w:hAnsi="仿宋_GB2312" w:cs="仿宋_GB2312" w:eastAsia="仿宋_GB2312"/>
                <w:sz w:val="22"/>
              </w:rPr>
              <w:t>HIS及集成平台系统的稳定运行及基础操作程序优化，由专业团队提供专业的技术服务与支持，提供满足使用科室需求的服务内容与健全规范的服务体系。</w:t>
            </w:r>
          </w:p>
          <w:p>
            <w:pPr>
              <w:pStyle w:val="null3"/>
              <w:jc w:val="both"/>
            </w:pPr>
            <w:r>
              <w:rPr>
                <w:rFonts w:ascii="仿宋_GB2312" w:hAnsi="仿宋_GB2312" w:cs="仿宋_GB2312" w:eastAsia="仿宋_GB2312"/>
                <w:sz w:val="22"/>
              </w:rPr>
              <w:t>2.维保服务内容</w:t>
            </w:r>
          </w:p>
          <w:p>
            <w:pPr>
              <w:pStyle w:val="null3"/>
              <w:jc w:val="both"/>
            </w:pPr>
            <w:r>
              <w:rPr>
                <w:rFonts w:ascii="仿宋_GB2312" w:hAnsi="仿宋_GB2312" w:cs="仿宋_GB2312" w:eastAsia="仿宋_GB2312"/>
                <w:sz w:val="22"/>
              </w:rPr>
              <w:t>2.1 服务期内为医院提供现有HIS系统和集成平台产品的维护支持服务，保障医院HIS系统和集成平台产品的稳定运行。包括但不限于安装、配置、运行监控、补丁收集及维护、故障解决、健康检查、系统调优、应急处理、安全保障等。</w:t>
            </w:r>
          </w:p>
          <w:p>
            <w:pPr>
              <w:pStyle w:val="null3"/>
              <w:jc w:val="left"/>
            </w:pPr>
            <w:r>
              <w:rPr>
                <w:rFonts w:ascii="仿宋_GB2312" w:hAnsi="仿宋_GB2312" w:cs="仿宋_GB2312" w:eastAsia="仿宋_GB2312"/>
                <w:sz w:val="22"/>
                <w:color w:val="000000"/>
              </w:rPr>
              <w:t>2.2 技术支持：处理HIS系统</w:t>
            </w:r>
            <w:r>
              <w:rPr>
                <w:rFonts w:ascii="仿宋_GB2312" w:hAnsi="仿宋_GB2312" w:cs="仿宋_GB2312" w:eastAsia="仿宋_GB2312"/>
                <w:sz w:val="22"/>
              </w:rPr>
              <w:t>和集成平台产品</w:t>
            </w:r>
            <w:r>
              <w:rPr>
                <w:rFonts w:ascii="仿宋_GB2312" w:hAnsi="仿宋_GB2312" w:cs="仿宋_GB2312" w:eastAsia="仿宋_GB2312"/>
                <w:sz w:val="22"/>
                <w:color w:val="000000"/>
              </w:rPr>
              <w:t>日常问题，如软件客户端安装、操作（使用）人员培训、科室问题解答、后台数据纠错修改、数据传输、常规系统故障排除等情况。</w:t>
            </w:r>
          </w:p>
          <w:p>
            <w:pPr>
              <w:pStyle w:val="null3"/>
              <w:jc w:val="left"/>
            </w:pPr>
            <w:r>
              <w:rPr>
                <w:rFonts w:ascii="仿宋_GB2312" w:hAnsi="仿宋_GB2312" w:cs="仿宋_GB2312" w:eastAsia="仿宋_GB2312"/>
                <w:sz w:val="22"/>
                <w:color w:val="000000"/>
              </w:rPr>
              <w:t>2.3 提供医院HIS系统</w:t>
            </w:r>
            <w:r>
              <w:rPr>
                <w:rFonts w:ascii="仿宋_GB2312" w:hAnsi="仿宋_GB2312" w:cs="仿宋_GB2312" w:eastAsia="仿宋_GB2312"/>
                <w:sz w:val="22"/>
              </w:rPr>
              <w:t>和集成平台产品的</w:t>
            </w:r>
            <w:r>
              <w:rPr>
                <w:rFonts w:ascii="仿宋_GB2312" w:hAnsi="仿宋_GB2312" w:cs="仿宋_GB2312" w:eastAsia="仿宋_GB2312"/>
                <w:sz w:val="22"/>
                <w:color w:val="000000"/>
              </w:rPr>
              <w:t>流程变更，业务调整的可行性改造方案。</w:t>
            </w:r>
          </w:p>
          <w:p>
            <w:pPr>
              <w:pStyle w:val="null3"/>
              <w:jc w:val="left"/>
            </w:pPr>
            <w:r>
              <w:rPr>
                <w:rFonts w:ascii="仿宋_GB2312" w:hAnsi="仿宋_GB2312" w:cs="仿宋_GB2312" w:eastAsia="仿宋_GB2312"/>
                <w:sz w:val="22"/>
                <w:color w:val="000000"/>
              </w:rPr>
              <w:t>2.4 改造、新增原有HIS系统</w:t>
            </w:r>
            <w:r>
              <w:rPr>
                <w:rFonts w:ascii="仿宋_GB2312" w:hAnsi="仿宋_GB2312" w:cs="仿宋_GB2312" w:eastAsia="仿宋_GB2312"/>
                <w:sz w:val="22"/>
              </w:rPr>
              <w:t>和集成平台产品</w:t>
            </w:r>
            <w:r>
              <w:rPr>
                <w:rFonts w:ascii="仿宋_GB2312" w:hAnsi="仿宋_GB2312" w:cs="仿宋_GB2312" w:eastAsia="仿宋_GB2312"/>
                <w:sz w:val="22"/>
                <w:color w:val="000000"/>
              </w:rPr>
              <w:t>功能，适应医院管理流程、业务流程。</w:t>
            </w:r>
          </w:p>
          <w:p>
            <w:pPr>
              <w:pStyle w:val="null3"/>
              <w:jc w:val="left"/>
            </w:pPr>
            <w:r>
              <w:rPr>
                <w:rFonts w:ascii="仿宋_GB2312" w:hAnsi="仿宋_GB2312" w:cs="仿宋_GB2312" w:eastAsia="仿宋_GB2312"/>
                <w:sz w:val="22"/>
                <w:color w:val="000000"/>
              </w:rPr>
              <w:t>2.5 负责现有HIS系统</w:t>
            </w:r>
            <w:r>
              <w:rPr>
                <w:rFonts w:ascii="仿宋_GB2312" w:hAnsi="仿宋_GB2312" w:cs="仿宋_GB2312" w:eastAsia="仿宋_GB2312"/>
                <w:sz w:val="22"/>
              </w:rPr>
              <w:t>和集成平台</w:t>
            </w:r>
            <w:r>
              <w:rPr>
                <w:rFonts w:ascii="仿宋_GB2312" w:hAnsi="仿宋_GB2312" w:cs="仿宋_GB2312" w:eastAsia="仿宋_GB2312"/>
                <w:sz w:val="22"/>
                <w:color w:val="000000"/>
              </w:rPr>
              <w:t>底层数据库、表结构以及在医院现有系统基础上所完成的个性化功能的修改及维护。</w:t>
            </w:r>
          </w:p>
          <w:p>
            <w:pPr>
              <w:pStyle w:val="null3"/>
              <w:jc w:val="left"/>
            </w:pPr>
            <w:r>
              <w:rPr>
                <w:rFonts w:ascii="仿宋_GB2312" w:hAnsi="仿宋_GB2312" w:cs="仿宋_GB2312" w:eastAsia="仿宋_GB2312"/>
                <w:sz w:val="22"/>
                <w:color w:val="000000"/>
              </w:rPr>
              <w:t>2.6 协助医院排除解决因第三方软件系统运行故障连带造成的HIS系统</w:t>
            </w:r>
            <w:r>
              <w:rPr>
                <w:rFonts w:ascii="仿宋_GB2312" w:hAnsi="仿宋_GB2312" w:cs="仿宋_GB2312" w:eastAsia="仿宋_GB2312"/>
                <w:sz w:val="22"/>
              </w:rPr>
              <w:t>和集成平台产品</w:t>
            </w:r>
            <w:r>
              <w:rPr>
                <w:rFonts w:ascii="仿宋_GB2312" w:hAnsi="仿宋_GB2312" w:cs="仿宋_GB2312" w:eastAsia="仿宋_GB2312"/>
                <w:sz w:val="22"/>
                <w:color w:val="000000"/>
              </w:rPr>
              <w:t>运行故障问题，及可能涉及和产生的相关系统接口改造。</w:t>
            </w:r>
          </w:p>
          <w:p>
            <w:pPr>
              <w:pStyle w:val="null3"/>
              <w:jc w:val="left"/>
            </w:pPr>
            <w:r>
              <w:rPr>
                <w:rFonts w:ascii="仿宋_GB2312" w:hAnsi="仿宋_GB2312" w:cs="仿宋_GB2312" w:eastAsia="仿宋_GB2312"/>
                <w:sz w:val="22"/>
                <w:color w:val="000000"/>
              </w:rPr>
              <w:t>2.7 协助医院排除解决因硬件因素造成的系统运行故障连带造成HIS系统</w:t>
            </w:r>
            <w:r>
              <w:rPr>
                <w:rFonts w:ascii="仿宋_GB2312" w:hAnsi="仿宋_GB2312" w:cs="仿宋_GB2312" w:eastAsia="仿宋_GB2312"/>
                <w:sz w:val="22"/>
              </w:rPr>
              <w:t>和集成平台产品</w:t>
            </w:r>
            <w:r>
              <w:rPr>
                <w:rFonts w:ascii="仿宋_GB2312" w:hAnsi="仿宋_GB2312" w:cs="仿宋_GB2312" w:eastAsia="仿宋_GB2312"/>
                <w:sz w:val="22"/>
                <w:color w:val="000000"/>
              </w:rPr>
              <w:t>运行故障问题。</w:t>
            </w:r>
          </w:p>
          <w:p>
            <w:pPr>
              <w:pStyle w:val="null3"/>
              <w:jc w:val="left"/>
            </w:pPr>
            <w:r>
              <w:rPr>
                <w:rFonts w:ascii="仿宋_GB2312" w:hAnsi="仿宋_GB2312" w:cs="仿宋_GB2312" w:eastAsia="仿宋_GB2312"/>
                <w:sz w:val="22"/>
                <w:color w:val="000000"/>
              </w:rPr>
              <w:t>2.8 每季度向医院提供符合国家政策要求的信息化建设建议（如医院流程优化、医院管理咨询）。</w:t>
            </w:r>
          </w:p>
          <w:p>
            <w:pPr>
              <w:pStyle w:val="null3"/>
              <w:jc w:val="left"/>
            </w:pPr>
            <w:r>
              <w:rPr>
                <w:rFonts w:ascii="仿宋_GB2312" w:hAnsi="仿宋_GB2312" w:cs="仿宋_GB2312" w:eastAsia="仿宋_GB2312"/>
                <w:sz w:val="22"/>
                <w:color w:val="000000"/>
              </w:rPr>
              <w:t>2.9 配合医院在规定时间内，解决国家及上级主管部门下发的系统改造、报表更改、程序开发等问题。</w:t>
            </w:r>
          </w:p>
          <w:p>
            <w:pPr>
              <w:pStyle w:val="null3"/>
              <w:jc w:val="left"/>
            </w:pPr>
            <w:r>
              <w:rPr>
                <w:rFonts w:ascii="仿宋_GB2312" w:hAnsi="仿宋_GB2312" w:cs="仿宋_GB2312" w:eastAsia="仿宋_GB2312"/>
                <w:sz w:val="22"/>
                <w:color w:val="000000"/>
              </w:rPr>
              <w:t>2.10 配合医院完成HIS系统</w:t>
            </w:r>
            <w:r>
              <w:rPr>
                <w:rFonts w:ascii="仿宋_GB2312" w:hAnsi="仿宋_GB2312" w:cs="仿宋_GB2312" w:eastAsia="仿宋_GB2312"/>
                <w:sz w:val="22"/>
              </w:rPr>
              <w:t>和集成平台产品</w:t>
            </w:r>
            <w:r>
              <w:rPr>
                <w:rFonts w:ascii="仿宋_GB2312" w:hAnsi="仿宋_GB2312" w:cs="仿宋_GB2312" w:eastAsia="仿宋_GB2312"/>
                <w:sz w:val="22"/>
                <w:color w:val="000000"/>
              </w:rPr>
              <w:t>相关的其它系统对接服务。</w:t>
            </w:r>
          </w:p>
          <w:p>
            <w:pPr>
              <w:pStyle w:val="null3"/>
              <w:jc w:val="left"/>
            </w:pPr>
            <w:r>
              <w:rPr>
                <w:rFonts w:ascii="仿宋_GB2312" w:hAnsi="仿宋_GB2312" w:cs="仿宋_GB2312" w:eastAsia="仿宋_GB2312"/>
                <w:sz w:val="22"/>
                <w:color w:val="000000"/>
              </w:rPr>
              <w:t>2.11巡检服务：工程师定期到医院，对系统存在的问题和不足进行沟通了解，并对问题进行现场处理，并对医院信息化建设发展提出合理建议。</w:t>
            </w:r>
          </w:p>
          <w:p>
            <w:pPr>
              <w:pStyle w:val="null3"/>
              <w:jc w:val="left"/>
            </w:pPr>
            <w:r>
              <w:rPr>
                <w:rFonts w:ascii="仿宋_GB2312" w:hAnsi="仿宋_GB2312" w:cs="仿宋_GB2312" w:eastAsia="仿宋_GB2312"/>
                <w:sz w:val="22"/>
                <w:color w:val="000000"/>
              </w:rPr>
              <w:t>每月</w:t>
            </w:r>
            <w:r>
              <w:rPr>
                <w:rFonts w:ascii="仿宋_GB2312" w:hAnsi="仿宋_GB2312" w:cs="仿宋_GB2312" w:eastAsia="仿宋_GB2312"/>
                <w:sz w:val="22"/>
                <w:color w:val="000000"/>
              </w:rPr>
              <w:t>1次上门巡检服务，每次不低于3个工作日，或累计每季度不低于10个工作日。巡检完成后提供巡检保养反馈，反馈报告应包含但不限于以下内容：巡检保养时间，保养内容等，并由各科负责人签字确认。</w:t>
            </w:r>
          </w:p>
          <w:p>
            <w:pPr>
              <w:pStyle w:val="null3"/>
              <w:jc w:val="left"/>
            </w:pPr>
            <w:r>
              <w:rPr>
                <w:rFonts w:ascii="仿宋_GB2312" w:hAnsi="仿宋_GB2312" w:cs="仿宋_GB2312" w:eastAsia="仿宋_GB2312"/>
                <w:sz w:val="22"/>
              </w:rPr>
              <w:t>3.维保服务标准：</w:t>
            </w:r>
          </w:p>
          <w:tbl>
            <w:tblPr>
              <w:tblBorders>
                <w:top w:val="none" w:color="000000" w:sz="4"/>
                <w:left w:val="none" w:color="000000" w:sz="4"/>
                <w:bottom w:val="none" w:color="000000" w:sz="4"/>
                <w:right w:val="none" w:color="000000" w:sz="4"/>
                <w:insideH w:val="none"/>
                <w:insideV w:val="none"/>
              </w:tblBorders>
            </w:tblPr>
            <w:tblGrid>
              <w:gridCol w:w="500"/>
              <w:gridCol w:w="810"/>
              <w:gridCol w:w="1242"/>
            </w:tblGrid>
            <w:tr>
              <w:tc>
                <w:tcPr>
                  <w:tcW w:type="dxa" w:w="5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服务方式</w:t>
                  </w:r>
                </w:p>
              </w:tc>
              <w:tc>
                <w:tcPr>
                  <w:tcW w:type="dxa" w:w="8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服务内容</w:t>
                  </w:r>
                </w:p>
              </w:tc>
              <w:tc>
                <w:tcPr>
                  <w:tcW w:type="dxa" w:w="12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服务标准</w:t>
                  </w:r>
                </w:p>
              </w:tc>
            </w:tr>
            <w:tr>
              <w:tc>
                <w:tcPr>
                  <w:tcW w:type="dxa" w:w="50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远程服务</w:t>
                  </w:r>
                </w:p>
              </w:tc>
              <w:tc>
                <w:tcPr>
                  <w:tcW w:type="dxa" w:w="8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工程师不到现场，通过电话、</w:t>
                  </w:r>
                  <w:r>
                    <w:rPr>
                      <w:rFonts w:ascii="仿宋_GB2312" w:hAnsi="仿宋_GB2312" w:cs="仿宋_GB2312" w:eastAsia="仿宋_GB2312"/>
                      <w:sz w:val="22"/>
                      <w:color w:val="000000"/>
                    </w:rPr>
                    <w:t>QQ、微信、电子邮件等方式处理系统问题。</w:t>
                  </w:r>
                </w:p>
              </w:tc>
              <w:tc>
                <w:tcPr>
                  <w:tcW w:type="dxa" w:w="12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7*24小时期间受理问题，对受理问题2小时内给予解决或解决方案。</w:t>
                  </w:r>
                </w:p>
              </w:tc>
            </w:tr>
            <w:tr>
              <w:tc>
                <w:tcPr>
                  <w:tcW w:type="dxa" w:w="500"/>
                  <w:vMerge/>
                  <w:tcBorders>
                    <w:top w:val="none" w:color="000000" w:sz="4"/>
                    <w:left w:val="single" w:color="000000" w:sz="4"/>
                    <w:bottom w:val="single" w:color="000000" w:sz="4"/>
                    <w:right w:val="single" w:color="000000" w:sz="4"/>
                  </w:tcBorders>
                </w:tcPr>
                <w:p/>
              </w:tc>
              <w:tc>
                <w:tcPr>
                  <w:tcW w:type="dxa" w:w="810"/>
                  <w:vMerge/>
                  <w:tcBorders>
                    <w:top w:val="none" w:color="000000" w:sz="4"/>
                    <w:left w:val="single" w:color="000000" w:sz="4"/>
                    <w:bottom w:val="single" w:color="000000" w:sz="4"/>
                    <w:right w:val="single" w:color="000000" w:sz="4"/>
                  </w:tcBorders>
                </w:tcPr>
                <w:p/>
              </w:tc>
              <w:tc>
                <w:tcPr>
                  <w:tcW w:type="dxa" w:w="1242"/>
                  <w:vMerge/>
                  <w:tcBorders>
                    <w:top w:val="none" w:color="000000" w:sz="4"/>
                    <w:left w:val="single" w:color="000000" w:sz="4"/>
                    <w:bottom w:val="single" w:color="000000" w:sz="4"/>
                    <w:right w:val="single" w:color="000000" w:sz="4"/>
                  </w:tcBorders>
                </w:tcPr>
                <w:p/>
              </w:tc>
            </w:tr>
            <w:tr>
              <w:tc>
                <w:tcPr>
                  <w:tcW w:type="dxa" w:w="50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改造服务</w:t>
                  </w:r>
                </w:p>
              </w:tc>
              <w:tc>
                <w:tcPr>
                  <w:tcW w:type="dxa" w:w="8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根据医院管理要求变化、业务流程调整、系统需求调整、功能增加、接口改造等情况进行的开发性系统改造工作</w:t>
                  </w:r>
                </w:p>
              </w:tc>
              <w:tc>
                <w:tcPr>
                  <w:tcW w:type="dxa" w:w="124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需求改造服务，对院方提出需求进行的开发性改造工作，如结账方式调整、护理文书调整等等。单个需求开发工作量</w:t>
                  </w:r>
                  <w:r>
                    <w:rPr>
                      <w:rFonts w:ascii="仿宋_GB2312" w:hAnsi="仿宋_GB2312" w:cs="仿宋_GB2312" w:eastAsia="仿宋_GB2312"/>
                      <w:sz w:val="22"/>
                      <w:color w:val="000000"/>
                    </w:rPr>
                    <w:t>1-5日，总工作量不超过60日/年。</w:t>
                  </w:r>
                </w:p>
              </w:tc>
            </w:tr>
            <w:tr>
              <w:tc>
                <w:tcPr>
                  <w:tcW w:type="dxa" w:w="500"/>
                  <w:vMerge/>
                  <w:tcBorders>
                    <w:top w:val="none" w:color="000000" w:sz="4"/>
                    <w:left w:val="single" w:color="000000" w:sz="4"/>
                    <w:bottom w:val="single" w:color="000000" w:sz="4"/>
                    <w:right w:val="single" w:color="000000" w:sz="4"/>
                  </w:tcBorders>
                </w:tcPr>
                <w:p/>
              </w:tc>
              <w:tc>
                <w:tcPr>
                  <w:tcW w:type="dxa" w:w="810"/>
                  <w:vMerge/>
                  <w:tcBorders>
                    <w:top w:val="none" w:color="000000" w:sz="4"/>
                    <w:left w:val="single" w:color="000000" w:sz="4"/>
                    <w:bottom w:val="single" w:color="000000" w:sz="4"/>
                    <w:right w:val="single" w:color="000000" w:sz="4"/>
                  </w:tcBorders>
                </w:tcPr>
                <w:p/>
              </w:tc>
              <w:tc>
                <w:tcPr>
                  <w:tcW w:type="dxa" w:w="1242"/>
                  <w:vMerge/>
                  <w:tcBorders>
                    <w:top w:val="none" w:color="000000" w:sz="4"/>
                    <w:left w:val="single" w:color="000000" w:sz="4"/>
                    <w:bottom w:val="single" w:color="000000" w:sz="4"/>
                    <w:right w:val="single" w:color="000000" w:sz="4"/>
                  </w:tcBorders>
                </w:tcPr>
                <w:p/>
              </w:tc>
            </w:tr>
            <w:tr>
              <w:tc>
                <w:tcPr>
                  <w:tcW w:type="dxa" w:w="500"/>
                  <w:vMerge/>
                  <w:tcBorders>
                    <w:top w:val="none" w:color="000000" w:sz="4"/>
                    <w:left w:val="single" w:color="000000" w:sz="4"/>
                    <w:bottom w:val="single" w:color="000000" w:sz="4"/>
                    <w:right w:val="single" w:color="000000" w:sz="4"/>
                  </w:tcBorders>
                </w:tcPr>
                <w:p/>
              </w:tc>
              <w:tc>
                <w:tcPr>
                  <w:tcW w:type="dxa" w:w="810"/>
                  <w:vMerge/>
                  <w:tcBorders>
                    <w:top w:val="none" w:color="000000" w:sz="4"/>
                    <w:left w:val="single" w:color="000000" w:sz="4"/>
                    <w:bottom w:val="single" w:color="000000" w:sz="4"/>
                    <w:right w:val="single" w:color="000000" w:sz="4"/>
                  </w:tcBorders>
                </w:tcPr>
                <w:p/>
              </w:tc>
              <w:tc>
                <w:tcPr>
                  <w:tcW w:type="dxa" w:w="1242"/>
                  <w:vMerge/>
                  <w:tcBorders>
                    <w:top w:val="none" w:color="000000" w:sz="4"/>
                    <w:left w:val="single" w:color="000000" w:sz="4"/>
                    <w:bottom w:val="single" w:color="000000" w:sz="4"/>
                    <w:right w:val="single" w:color="000000" w:sz="4"/>
                  </w:tcBorders>
                </w:tcPr>
                <w:p/>
              </w:tc>
            </w:tr>
            <w:tr>
              <w:tc>
                <w:tcPr>
                  <w:tcW w:type="dxa" w:w="5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故障处理</w:t>
                  </w:r>
                </w:p>
              </w:tc>
              <w:tc>
                <w:tcPr>
                  <w:tcW w:type="dxa" w:w="8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故障排除</w:t>
                  </w:r>
                </w:p>
              </w:tc>
              <w:tc>
                <w:tcPr>
                  <w:tcW w:type="dxa" w:w="1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故障分为三个等级：</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一级：设备或系统故障严重影响到医院的正常营业</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此类故障要求中标人在</w:t>
                  </w:r>
                  <w:r>
                    <w:rPr>
                      <w:rFonts w:ascii="仿宋_GB2312" w:hAnsi="仿宋_GB2312" w:cs="仿宋_GB2312" w:eastAsia="仿宋_GB2312"/>
                      <w:sz w:val="22"/>
                      <w:color w:val="000000"/>
                    </w:rPr>
                    <w:t>2小时之内提出相应的解决方案。24小时之内排除故障。</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二级：设备或系统故障但不影响医院的正常营业。</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此类故障要求中标人在</w:t>
                  </w:r>
                  <w:r>
                    <w:rPr>
                      <w:rFonts w:ascii="仿宋_GB2312" w:hAnsi="仿宋_GB2312" w:cs="仿宋_GB2312" w:eastAsia="仿宋_GB2312"/>
                      <w:sz w:val="22"/>
                      <w:color w:val="000000"/>
                    </w:rPr>
                    <w:t>4小时之内提出相应的解决方案。48小时之内排除故障。</w:t>
                  </w:r>
                </w:p>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三级：主要以版本升级，微码升级为主。此类问题设备无硬件故障，不影响医院的正常营业，此类问题在一周之内解决。</w:t>
                  </w:r>
                </w:p>
              </w:tc>
            </w:tr>
          </w:tbl>
          <w:p>
            <w:pPr>
              <w:pStyle w:val="null3"/>
              <w:jc w:val="both"/>
            </w:pPr>
            <w:r>
              <w:rPr>
                <w:rFonts w:ascii="仿宋_GB2312" w:hAnsi="仿宋_GB2312" w:cs="仿宋_GB2312" w:eastAsia="仿宋_GB2312"/>
                <w:sz w:val="22"/>
              </w:rPr>
              <w:t>4、服务人员</w:t>
            </w:r>
          </w:p>
          <w:p>
            <w:pPr>
              <w:pStyle w:val="null3"/>
              <w:jc w:val="both"/>
            </w:pPr>
            <w:r>
              <w:rPr>
                <w:rFonts w:ascii="仿宋_GB2312" w:hAnsi="仿宋_GB2312" w:cs="仿宋_GB2312" w:eastAsia="仿宋_GB2312"/>
                <w:sz w:val="22"/>
              </w:rPr>
              <w:t>4.1本项目配备维保服务团队≥4人，采购人有权根据项目实施推进情况和完成度对中标供应商的团队人员在规定的时间内进行调整、增补</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4.2所有对设备的维护操作需提前填写操作申请，经采购人相关部门审批后方可进行，严禁中标人服务人员在未得到采购人相关部门授权的情况下私自对本项目内产品进行任何操作。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供应商在本项目维保期满后向采购方提交验收申请。采购方应接到供应商系统软件书面验收申请 7 个工作日内应组织对本项目内容进行验收确认。验收严格按照采购文件、响应文件、合同中的技术要求、商务要求等内容来验收。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双方签订合同正式生效后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维保期满，符合相关约定，经采购人验收合格后，支付合同余款（每次付款前，中标人需开具等额的增值税普通发票给采购人，采购人收到发票后付款）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按采购文件和投标文件执行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一、服务质量：符合国家、行业、地方规定以及采购人规定的质量及安全标准 二、知识产权：采购人在中华人民共和国境内使用服务商提供的货物及服务时免受第三方提出的侵犯其专利权或其它知识产权的起诉。如果第三方提出侵权指控，中标人应承担由此而引起的一切法律责任和费用。 三、中标人应保证本项目采购服务内容所涉及的工作质量。由于未能履行职责、人为误操作、维护处理不当等原因造成采购人系统宕机、性能下降、数据丢失等情况，中标人应负全部责任，采取补救措施，直到满足采购人需求。 四、对需要支持人员到达现场的情况，支持人员在2小时内到达，所发生的交通费用由中标人负责。工程师到达现场后，要及时解决问题，对于一些重大故障，如由于中标人能力有限不能在采购人要求的时间内修复故障时，采购人有权请其它专业服务公司进行紧急处理，所发生费用全部由中标人承担。 五、若采购服务需求中出现不合理或不完整等可能影响项目实施的问题，中标人有责任和义务提出补充修改方案并征得采购人同意后付诸实施，采购人不再另行支付任何费用。 六、保密要求：中标人在与采购人合作过程中，必须确保对采购人的资料、数据等信息的安全，未经采购人许可，不得复制、泄露、损坏采购人的任何信息，未经采购方同意，不得将承接政府服务项目获得的政府、公民个人等各种信息和资料提供给其他单位和个人。违反本规定的，采购人将依法追究中标人的法律责任，并要求中标人进行经济赔偿（提供保密承诺书）。 七、本项目为服务类项目，不涉及核心产品。 八、中标供应商领取中标（成交）通知书时，向采购代理机构提供一正两副（和上传文件保持一致的）纸质投标（响应）文件用于备案及档案保存。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提供2025年1月（含1月）以来至少一个月的纳税证明或完税证明（时间以税款所属时期为准），依法免税的单位应提供相关证明材料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 3 年内在经营活动中没有重大违法记录的书面声明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非法定代表人参加投标的，须提供法定代表人委托授权书、被授权人身份证及开标截止前连续近三个月在投标单位缴纳的社会保险证明，法定代表人参加投标时,只需提供法定代表人身份证；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供应商与其他投标单位无交叉控股股东、无交叉兼任高级管理人员及涉嫌联合串标行为，无采购单位和招标代理机构职工在该单位兼职的情况，不向采购单位和代理机构相关人员输送利益等行贿行为(提供承诺书)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本项目不接受由西安市第一医院职工及其亲属投资举办的企业参加投标</w:t>
            </w:r>
          </w:p>
        </w:tc>
        <w:tc>
          <w:tcPr>
            <w:tcW w:type="dxa" w:w="3322"/>
          </w:tcPr>
          <w:p>
            <w:pPr>
              <w:pStyle w:val="null3"/>
            </w:pPr>
            <w:r>
              <w:rPr>
                <w:rFonts w:ascii="仿宋_GB2312" w:hAnsi="仿宋_GB2312" w:cs="仿宋_GB2312" w:eastAsia="仿宋_GB2312"/>
              </w:rPr>
              <w:t>本项目不接受由西安市第一医院职工及其亲属投资举办的企业参加投标(提供承诺书)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响应报价超过采购预算或者最高限价不合格 响应报价未超过采购预算或 者最高限价合格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服务期限不满足竞争性磋商文件要求 不合格 服务期限满足竞争性磋商文件要求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响应文件的签署、盖章不符合竞争性磋商文件要求 不合格 响应文件的签署、盖 章符合竞争性磋商文件要求 合格</w:t>
            </w:r>
          </w:p>
        </w:tc>
        <w:tc>
          <w:tcPr>
            <w:tcW w:type="dxa" w:w="1661"/>
          </w:tcPr>
          <w:p>
            <w:pPr>
              <w:pStyle w:val="null3"/>
            </w:pPr>
            <w:r>
              <w:rPr>
                <w:rFonts w:ascii="仿宋_GB2312" w:hAnsi="仿宋_GB2312" w:cs="仿宋_GB2312" w:eastAsia="仿宋_GB2312"/>
              </w:rPr>
              <w:t>响应文件封面 分项报价表.docx 供应商资格要求.docx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响应文件无投标有效期或有效期达不到竞争性磋商文件要求的 不合格 响应文件投标有效期达到竞争性磋商文件要求的合格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支付约定不满足竞争性磋商文件要求 不合格 支付约定满足竞争性磋商文件要求 合格</w:t>
            </w:r>
          </w:p>
        </w:tc>
        <w:tc>
          <w:tcPr>
            <w:tcW w:type="dxa" w:w="1661"/>
          </w:tcPr>
          <w:p>
            <w:pPr>
              <w:pStyle w:val="null3"/>
            </w:pPr>
            <w:r>
              <w:rPr>
                <w:rFonts w:ascii="仿宋_GB2312" w:hAnsi="仿宋_GB2312" w:cs="仿宋_GB2312" w:eastAsia="仿宋_GB2312"/>
              </w:rPr>
              <w:t>商务应答表 供应商认为有必要说明的其他问题.docx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 格），存在法律、法规和竞争性磋商文件规 定的其他无效情形 （不合格）</w:t>
            </w:r>
          </w:p>
        </w:tc>
        <w:tc>
          <w:tcPr>
            <w:tcW w:type="dxa" w:w="1661"/>
          </w:tcPr>
          <w:p>
            <w:pPr>
              <w:pStyle w:val="null3"/>
            </w:pPr>
            <w:r>
              <w:rPr>
                <w:rFonts w:ascii="仿宋_GB2312" w:hAnsi="仿宋_GB2312" w:cs="仿宋_GB2312" w:eastAsia="仿宋_GB2312"/>
              </w:rPr>
              <w:t>服务内容及服务邀请应答表 商务应答表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总体维护服务方案</w:t>
            </w:r>
          </w:p>
        </w:tc>
        <w:tc>
          <w:tcPr>
            <w:tcW w:type="dxa" w:w="2492"/>
          </w:tcPr>
          <w:p>
            <w:pPr>
              <w:pStyle w:val="null3"/>
            </w:pPr>
            <w:r>
              <w:rPr>
                <w:rFonts w:ascii="仿宋_GB2312" w:hAnsi="仿宋_GB2312" w:cs="仿宋_GB2312" w:eastAsia="仿宋_GB2312"/>
              </w:rPr>
              <w:t>供应商针对本项目制定总体维护服务方案，内容包含①服务内容分析及理解；②维保服务流程设计；③总体服务计划；④重难点分析；⑤项目实施安全管理方案；⑥信息保密方案。 提供的上述6项内容完整可行得30分；每有一项未提供扣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总体维护服务方案.docx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供应商针对本项目制定服务保障措施，内容包含①项目管理措施；②项目进度控制措施；③质量控制措施；④质量保证措施。 提供的上述4项内容完整可行得20分；每有一项未提供扣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p>
            <w:pPr>
              <w:pStyle w:val="null3"/>
            </w:pPr>
            <w:r>
              <w:rPr>
                <w:rFonts w:ascii="仿宋_GB2312" w:hAnsi="仿宋_GB2312" w:cs="仿宋_GB2312" w:eastAsia="仿宋_GB2312"/>
              </w:rPr>
              <w:t>保密承诺书.docx</w:t>
            </w:r>
          </w:p>
        </w:tc>
      </w:tr>
      <w:tr>
        <w:tc>
          <w:tcPr>
            <w:tcW w:type="dxa" w:w="831"/>
            <w:vMerge/>
          </w:tcPr>
          <w:p/>
        </w:tc>
        <w:tc>
          <w:tcPr>
            <w:tcW w:type="dxa" w:w="1661"/>
          </w:tcPr>
          <w:p>
            <w:pPr>
              <w:pStyle w:val="null3"/>
            </w:pPr>
            <w:r>
              <w:rPr>
                <w:rFonts w:ascii="仿宋_GB2312" w:hAnsi="仿宋_GB2312" w:cs="仿宋_GB2312" w:eastAsia="仿宋_GB2312"/>
              </w:rPr>
              <w:t>维保应急措施</w:t>
            </w:r>
          </w:p>
        </w:tc>
        <w:tc>
          <w:tcPr>
            <w:tcW w:type="dxa" w:w="2492"/>
          </w:tcPr>
          <w:p>
            <w:pPr>
              <w:pStyle w:val="null3"/>
            </w:pPr>
            <w:r>
              <w:rPr>
                <w:rFonts w:ascii="仿宋_GB2312" w:hAnsi="仿宋_GB2312" w:cs="仿宋_GB2312" w:eastAsia="仿宋_GB2312"/>
              </w:rPr>
              <w:t>供应商针对本项目制定维保应急措施，内容包含①应急响应时间；②应急保障制度；③应急人力保障措施；④应急现场保障措施；提供的上述4项内容完整可行得16分；每有一项未提供扣4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维保应急措施.docx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供应商配置的项目服务人员具有计算机技术与软件专业技术资格中级及以上，每提供一份证书得1分。同一人拥有多个证书只得1分，此项最高得5分。未提供不得分。 注：需提供团队成员的认证证书原件的扫描件以及在供应商单位于2025年内连续三个月的社保缴纳证明材料。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内容包含①培训师资的配备方案；②整体培训方案；③培训效果评价方案。提供的上述3项内容完整可行得9分；每有一项未提供扣3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2022年12月1日至今（以合同签订时间为准）同类业绩，同类指包含信息管理HIS系统软件开发或HIS系统技术服务类或集成平台技术服务，每提供1个得1分，最高得5分。 （提供业绩项目完整合同复印件）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详见附件：总体维护服务方案.docx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详见附件：维保应急措施.docx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详见附件：保密承诺书.docx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