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678F7">
      <w:pPr>
        <w:topLinePunct/>
        <w:jc w:val="center"/>
        <w:rPr>
          <w:rFonts w:hint="eastAsia" w:asciiTheme="majorEastAsia" w:hAnsiTheme="majorEastAsia" w:eastAsiaTheme="majorEastAsia"/>
          <w:b/>
          <w:sz w:val="32"/>
          <w:szCs w:val="32"/>
          <w:highlight w:val="none"/>
          <w:lang w:eastAsia="zh-CN"/>
        </w:rPr>
      </w:pPr>
      <w:r>
        <w:rPr>
          <w:rFonts w:hint="eastAsia" w:asciiTheme="majorEastAsia" w:hAnsiTheme="majorEastAsia" w:eastAsiaTheme="majorEastAsia"/>
          <w:b/>
          <w:sz w:val="32"/>
          <w:szCs w:val="32"/>
          <w:highlight w:val="none"/>
          <w:lang w:eastAsia="zh-CN"/>
        </w:rPr>
        <w:t>西安市第一医院</w:t>
      </w:r>
    </w:p>
    <w:p w14:paraId="326D6037">
      <w:pPr>
        <w:topLinePunct/>
        <w:jc w:val="center"/>
        <w:rPr>
          <w:rFonts w:hint="eastAsia" w:asciiTheme="minorEastAsia" w:hAnsiTheme="minorEastAsia"/>
          <w:color w:val="000000" w:themeColor="text1"/>
          <w:kern w:val="0"/>
          <w:szCs w:val="21"/>
          <w:highlight w:val="none"/>
          <w14:textFill>
            <w14:solidFill>
              <w14:schemeClr w14:val="tx1"/>
            </w14:solidFill>
          </w14:textFill>
        </w:rPr>
      </w:pPr>
      <w:r>
        <w:rPr>
          <w:rFonts w:hint="eastAsia" w:asciiTheme="majorEastAsia" w:hAnsiTheme="majorEastAsia" w:eastAsiaTheme="majorEastAsia"/>
          <w:b/>
          <w:sz w:val="32"/>
          <w:szCs w:val="32"/>
          <w:highlight w:val="none"/>
          <w:lang w:eastAsia="zh-CN"/>
        </w:rPr>
        <w:t>HIS和集成平台系统维保采购项目</w:t>
      </w:r>
      <w:r>
        <w:rPr>
          <w:rFonts w:asciiTheme="majorEastAsia" w:hAnsiTheme="majorEastAsia" w:eastAsiaTheme="majorEastAsia"/>
          <w:b/>
          <w:sz w:val="32"/>
          <w:szCs w:val="32"/>
          <w:highlight w:val="none"/>
        </w:rPr>
        <w:t>合同</w:t>
      </w:r>
      <w:r>
        <w:rPr>
          <w:rFonts w:hint="eastAsia" w:asciiTheme="majorEastAsia" w:hAnsiTheme="majorEastAsia" w:eastAsiaTheme="majorEastAsia"/>
          <w:b/>
          <w:sz w:val="21"/>
          <w:szCs w:val="21"/>
          <w:highlight w:val="none"/>
          <w:lang w:eastAsia="zh-CN"/>
        </w:rPr>
        <w:t>（模板）</w:t>
      </w:r>
    </w:p>
    <w:p w14:paraId="2FE064AF">
      <w:pPr>
        <w:spacing w:line="360" w:lineRule="auto"/>
        <w:jc w:val="left"/>
        <w:rPr>
          <w:rFonts w:hint="eastAsia" w:asciiTheme="minorEastAsia" w:hAnsiTheme="minorEastAsia"/>
          <w:bCs/>
          <w:sz w:val="24"/>
          <w:szCs w:val="24"/>
          <w:highlight w:val="none"/>
        </w:rPr>
      </w:pPr>
    </w:p>
    <w:p w14:paraId="1694A89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bCs/>
          <w:sz w:val="24"/>
          <w:szCs w:val="24"/>
          <w:highlight w:val="none"/>
        </w:rPr>
      </w:pPr>
      <w:r>
        <w:rPr>
          <w:rFonts w:hint="eastAsia" w:asciiTheme="minorEastAsia" w:hAnsiTheme="minorEastAsia"/>
          <w:bCs/>
          <w:sz w:val="24"/>
          <w:szCs w:val="24"/>
          <w:highlight w:val="none"/>
        </w:rPr>
        <w:t>合同编号：</w:t>
      </w:r>
    </w:p>
    <w:p w14:paraId="3CE24DF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bCs/>
          <w:sz w:val="24"/>
          <w:szCs w:val="24"/>
          <w:highlight w:val="none"/>
        </w:rPr>
      </w:pPr>
      <w:r>
        <w:rPr>
          <w:rFonts w:hint="eastAsia" w:asciiTheme="minorEastAsia" w:hAnsiTheme="minorEastAsia"/>
          <w:bCs/>
          <w:sz w:val="24"/>
          <w:szCs w:val="24"/>
          <w:highlight w:val="none"/>
        </w:rPr>
        <w:t>签订地点：西安市第一医院</w:t>
      </w:r>
    </w:p>
    <w:p w14:paraId="768E8EC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bCs/>
          <w:sz w:val="24"/>
          <w:szCs w:val="24"/>
          <w:highlight w:val="none"/>
        </w:rPr>
      </w:pPr>
      <w:r>
        <w:rPr>
          <w:rFonts w:hint="eastAsia" w:asciiTheme="minorEastAsia" w:hAnsiTheme="minorEastAsia"/>
          <w:bCs/>
          <w:sz w:val="24"/>
          <w:szCs w:val="24"/>
          <w:highlight w:val="none"/>
          <w:lang w:eastAsia="zh-CN"/>
        </w:rPr>
        <w:t>甲方</w:t>
      </w:r>
      <w:r>
        <w:rPr>
          <w:rFonts w:hint="eastAsia" w:asciiTheme="minorEastAsia" w:hAnsiTheme="minorEastAsia"/>
          <w:bCs/>
          <w:sz w:val="24"/>
          <w:szCs w:val="24"/>
          <w:highlight w:val="none"/>
        </w:rPr>
        <w:t>：西安市第一医院</w:t>
      </w:r>
    </w:p>
    <w:p w14:paraId="2F979EE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bCs/>
          <w:sz w:val="24"/>
          <w:szCs w:val="24"/>
          <w:highlight w:val="none"/>
        </w:rPr>
      </w:pPr>
      <w:r>
        <w:rPr>
          <w:rFonts w:hint="eastAsia" w:asciiTheme="minorEastAsia" w:hAnsiTheme="minorEastAsia"/>
          <w:bCs/>
          <w:sz w:val="24"/>
          <w:szCs w:val="24"/>
          <w:highlight w:val="none"/>
          <w:lang w:eastAsia="zh-CN"/>
        </w:rPr>
        <w:t>乙方</w:t>
      </w:r>
      <w:r>
        <w:rPr>
          <w:rFonts w:hint="eastAsia" w:asciiTheme="minorEastAsia" w:hAnsiTheme="minorEastAsia"/>
          <w:bCs/>
          <w:sz w:val="24"/>
          <w:szCs w:val="24"/>
          <w:highlight w:val="none"/>
        </w:rPr>
        <w:t>：</w:t>
      </w:r>
    </w:p>
    <w:p w14:paraId="20D7CDD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Theme="minorEastAsia" w:hAnsiTheme="minorEastAsia"/>
          <w:sz w:val="24"/>
          <w:szCs w:val="24"/>
          <w:highlight w:val="none"/>
        </w:rPr>
      </w:pPr>
      <w:r>
        <w:rPr>
          <w:rFonts w:hint="eastAsia" w:asciiTheme="minorEastAsia" w:hAnsiTheme="minorEastAsia"/>
          <w:bCs/>
          <w:sz w:val="24"/>
          <w:szCs w:val="24"/>
          <w:highlight w:val="none"/>
        </w:rPr>
        <w:t>招标时间：  年   月  日</w:t>
      </w:r>
    </w:p>
    <w:p w14:paraId="662AD33F">
      <w:pPr>
        <w:pStyle w:val="2"/>
        <w:rPr>
          <w:rFonts w:hint="eastAsia"/>
          <w:highlight w:val="none"/>
        </w:rPr>
      </w:pPr>
    </w:p>
    <w:p w14:paraId="65637C1D">
      <w:pPr>
        <w:keepNext w:val="0"/>
        <w:keepLines w:val="0"/>
        <w:pageBreakBefore w:val="0"/>
        <w:widowControl w:val="0"/>
        <w:kinsoku/>
        <w:wordWrap/>
        <w:overflowPunct/>
        <w:topLinePunct/>
        <w:autoSpaceDE/>
        <w:autoSpaceDN/>
        <w:bidi w:val="0"/>
        <w:snapToGrid/>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asciiTheme="minorEastAsia" w:hAnsiTheme="minorEastAsia"/>
          <w:sz w:val="24"/>
          <w:szCs w:val="24"/>
          <w:highlight w:val="none"/>
        </w:rPr>
        <w:t>由</w:t>
      </w:r>
      <w:r>
        <w:rPr>
          <w:rFonts w:hint="eastAsia" w:asciiTheme="minorEastAsia" w:hAnsiTheme="minorEastAsia"/>
          <w:sz w:val="24"/>
          <w:szCs w:val="24"/>
          <w:highlight w:val="none"/>
          <w:u w:val="single"/>
          <w:lang w:val="en-US" w:eastAsia="zh-CN"/>
        </w:rPr>
        <w:t xml:space="preserve">          </w:t>
      </w:r>
      <w:r>
        <w:rPr>
          <w:rFonts w:asciiTheme="minorEastAsia" w:hAnsiTheme="minorEastAsia"/>
          <w:sz w:val="24"/>
          <w:szCs w:val="24"/>
          <w:highlight w:val="none"/>
        </w:rPr>
        <w:t>组织采购的项目名称：</w:t>
      </w:r>
      <w:r>
        <w:rPr>
          <w:rFonts w:hint="eastAsia" w:asciiTheme="minorEastAsia" w:hAnsiTheme="minorEastAsia"/>
          <w:sz w:val="24"/>
          <w:szCs w:val="24"/>
          <w:highlight w:val="none"/>
          <w:u w:val="single"/>
          <w:lang w:val="en-US" w:eastAsia="zh-CN"/>
        </w:rPr>
        <w:t xml:space="preserve">                     </w:t>
      </w:r>
      <w:r>
        <w:rPr>
          <w:rFonts w:hint="eastAsia" w:asciiTheme="minorEastAsia" w:hAnsiTheme="minorEastAsia"/>
          <w:sz w:val="24"/>
          <w:szCs w:val="24"/>
          <w:highlight w:val="none"/>
          <w:u w:val="none"/>
          <w:lang w:val="en-US" w:eastAsia="zh-CN"/>
        </w:rPr>
        <w:t>的</w:t>
      </w:r>
      <w:r>
        <w:rPr>
          <w:rFonts w:hint="eastAsia" w:asciiTheme="minorEastAsia" w:hAnsiTheme="minorEastAsia"/>
          <w:sz w:val="24"/>
          <w:szCs w:val="24"/>
          <w:highlight w:val="none"/>
          <w:u w:val="none"/>
        </w:rPr>
        <w:t>项目</w:t>
      </w:r>
      <w:r>
        <w:rPr>
          <w:rFonts w:asciiTheme="minorEastAsia" w:hAnsiTheme="minorEastAsia"/>
          <w:sz w:val="24"/>
          <w:szCs w:val="24"/>
          <w:highlight w:val="none"/>
        </w:rPr>
        <w:t>，采购编号为:</w:t>
      </w:r>
      <w:r>
        <w:rPr>
          <w:highlight w:val="none"/>
        </w:rPr>
        <w:t xml:space="preserve"> </w:t>
      </w:r>
      <w:r>
        <w:rPr>
          <w:rFonts w:hint="eastAsia" w:asciiTheme="minorEastAsia" w:hAnsiTheme="minorEastAsia"/>
          <w:sz w:val="24"/>
          <w:szCs w:val="24"/>
          <w:highlight w:val="none"/>
          <w:u w:val="single"/>
          <w:lang w:val="en-US" w:eastAsia="zh-CN"/>
        </w:rPr>
        <w:t xml:space="preserve">               </w:t>
      </w:r>
      <w:r>
        <w:rPr>
          <w:rFonts w:asciiTheme="minorEastAsia" w:hAnsiTheme="minorEastAsia"/>
          <w:sz w:val="24"/>
          <w:szCs w:val="24"/>
          <w:highlight w:val="none"/>
        </w:rPr>
        <w:t>，由评标委员会评定</w:t>
      </w:r>
      <w:r>
        <w:rPr>
          <w:rFonts w:hint="eastAsia" w:asciiTheme="minorEastAsia" w:hAnsiTheme="minorEastAsia"/>
          <w:bCs/>
          <w:sz w:val="24"/>
          <w:szCs w:val="24"/>
          <w:highlight w:val="none"/>
          <w:u w:val="single"/>
          <w:lang w:val="en-US" w:eastAsia="zh-CN"/>
        </w:rPr>
        <w:t xml:space="preserve">                 </w:t>
      </w:r>
      <w:r>
        <w:rPr>
          <w:rFonts w:hint="eastAsia" w:asciiTheme="minorEastAsia" w:hAnsiTheme="minorEastAsia"/>
          <w:bCs/>
          <w:sz w:val="24"/>
          <w:szCs w:val="24"/>
          <w:highlight w:val="none"/>
          <w:u w:val="none"/>
          <w:lang w:val="en-US" w:eastAsia="zh-CN"/>
        </w:rPr>
        <w:t xml:space="preserve"> </w:t>
      </w:r>
      <w:r>
        <w:rPr>
          <w:rFonts w:hint="eastAsia" w:asciiTheme="minorEastAsia" w:hAnsiTheme="minorEastAsia"/>
          <w:bCs/>
          <w:sz w:val="24"/>
          <w:szCs w:val="24"/>
          <w:highlight w:val="none"/>
          <w:u w:val="none"/>
        </w:rPr>
        <w:t>公司</w:t>
      </w:r>
      <w:r>
        <w:rPr>
          <w:rFonts w:asciiTheme="minorEastAsia" w:hAnsiTheme="minorEastAsia"/>
          <w:sz w:val="24"/>
          <w:szCs w:val="24"/>
          <w:highlight w:val="none"/>
        </w:rPr>
        <w:t>为成交供应商。</w:t>
      </w:r>
      <w:r>
        <w:rPr>
          <w:rFonts w:hint="eastAsia" w:ascii="宋体" w:hAnsi="宋体" w:eastAsia="宋体" w:cs="宋体"/>
          <w:color w:val="000000" w:themeColor="text1"/>
          <w:kern w:val="0"/>
          <w:sz w:val="24"/>
          <w:szCs w:val="24"/>
          <w:highlight w:val="none"/>
          <w14:textFill>
            <w14:solidFill>
              <w14:schemeClr w14:val="tx1"/>
            </w14:solidFill>
          </w14:textFill>
        </w:rPr>
        <w:t>依据《中</w:t>
      </w:r>
      <w:r>
        <w:rPr>
          <w:rFonts w:hint="eastAsia" w:asciiTheme="minorEastAsia" w:hAnsiTheme="minorEastAsia"/>
          <w:sz w:val="24"/>
          <w:szCs w:val="24"/>
          <w:highlight w:val="none"/>
        </w:rPr>
        <w:t>华人民共和国</w:t>
      </w:r>
      <w:r>
        <w:rPr>
          <w:rFonts w:hint="eastAsia" w:asciiTheme="minorEastAsia" w:hAnsiTheme="minorEastAsia"/>
          <w:sz w:val="24"/>
          <w:szCs w:val="24"/>
          <w:highlight w:val="none"/>
          <w:lang w:eastAsia="zh-CN"/>
        </w:rPr>
        <w:t>民法典</w:t>
      </w:r>
      <w:r>
        <w:rPr>
          <w:rFonts w:hint="eastAsia" w:asciiTheme="minorEastAsia" w:hAnsiTheme="minorEastAsia"/>
          <w:sz w:val="24"/>
          <w:szCs w:val="24"/>
          <w:highlight w:val="none"/>
        </w:rPr>
        <w:t>》的规定，甲乙双方一致同意按以下条款订立《西安市第一医院软件系统维护（维保）合同</w:t>
      </w:r>
      <w:r>
        <w:rPr>
          <w:rFonts w:hint="eastAsia" w:ascii="宋体" w:hAnsi="宋体" w:eastAsia="宋体" w:cs="宋体"/>
          <w:color w:val="000000" w:themeColor="text1"/>
          <w:kern w:val="0"/>
          <w:sz w:val="24"/>
          <w:szCs w:val="24"/>
          <w:highlight w:val="none"/>
          <w14:textFill>
            <w14:solidFill>
              <w14:schemeClr w14:val="tx1"/>
            </w14:solidFill>
          </w14:textFill>
        </w:rPr>
        <w:t>》（以下简称“本合同”）。</w:t>
      </w:r>
    </w:p>
    <w:p w14:paraId="212DEDBB">
      <w:pPr>
        <w:keepNext w:val="0"/>
        <w:keepLines w:val="0"/>
        <w:pageBreakBefore w:val="0"/>
        <w:widowControl w:val="0"/>
        <w:kinsoku/>
        <w:wordWrap/>
        <w:overflowPunct/>
        <w:topLinePunct/>
        <w:autoSpaceDE/>
        <w:autoSpaceDN/>
        <w:bidi w:val="0"/>
        <w:snapToGrid/>
        <w:spacing w:line="360" w:lineRule="auto"/>
        <w:ind w:right="720"/>
        <w:rPr>
          <w:rFonts w:hint="eastAsia" w:ascii="宋体" w:hAnsi="宋体" w:eastAsia="宋体" w:cs="宋体"/>
          <w:sz w:val="24"/>
          <w:szCs w:val="24"/>
          <w:highlight w:val="none"/>
        </w:rPr>
      </w:pPr>
    </w:p>
    <w:p w14:paraId="7068A8A1">
      <w:pPr>
        <w:pStyle w:val="3"/>
        <w:keepNext w:val="0"/>
        <w:keepLines w:val="0"/>
        <w:pageBreakBefore w:val="0"/>
        <w:widowControl w:val="0"/>
        <w:numPr>
          <w:ilvl w:val="0"/>
          <w:numId w:val="0"/>
        </w:numPr>
        <w:kinsoku/>
        <w:wordWrap/>
        <w:overflowPunct/>
        <w:topLinePunct/>
        <w:autoSpaceDE/>
        <w:autoSpaceDN/>
        <w:bidi w:val="0"/>
        <w:snapToGrid/>
        <w:spacing w:line="360" w:lineRule="auto"/>
        <w:ind w:leftChars="0"/>
        <w:rPr>
          <w:rFonts w:hint="eastAsia" w:ascii="宋体" w:hAnsi="宋体" w:eastAsia="宋体" w:cs="宋体"/>
          <w:kern w:val="0"/>
          <w:sz w:val="24"/>
          <w:szCs w:val="24"/>
          <w:highlight w:val="none"/>
        </w:rPr>
      </w:pPr>
      <w:bookmarkStart w:id="0" w:name="_Toc363115682"/>
      <w:r>
        <w:rPr>
          <w:rFonts w:hint="eastAsia" w:ascii="宋体" w:hAnsi="宋体" w:eastAsia="宋体" w:cs="宋体"/>
          <w:kern w:val="0"/>
          <w:sz w:val="24"/>
          <w:szCs w:val="24"/>
          <w:highlight w:val="none"/>
          <w:lang w:eastAsia="zh-CN"/>
        </w:rPr>
        <w:t>第一条</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合同项目</w:t>
      </w:r>
      <w:bookmarkEnd w:id="0"/>
      <w:r>
        <w:rPr>
          <w:rFonts w:hint="eastAsia" w:ascii="宋体" w:hAnsi="宋体" w:eastAsia="宋体" w:cs="宋体"/>
          <w:kern w:val="0"/>
          <w:sz w:val="24"/>
          <w:szCs w:val="24"/>
          <w:highlight w:val="none"/>
        </w:rPr>
        <w:t>及服务范围</w:t>
      </w:r>
    </w:p>
    <w:p w14:paraId="54AE8342">
      <w:pPr>
        <w:keepNext w:val="0"/>
        <w:keepLines w:val="0"/>
        <w:pageBreakBefore w:val="0"/>
        <w:widowControl w:val="0"/>
        <w:kinsoku/>
        <w:wordWrap/>
        <w:overflowPunct/>
        <w:autoSpaceDE/>
        <w:autoSpaceDN/>
        <w:bidi w:val="0"/>
        <w:snapToGrid/>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color w:val="000000" w:themeColor="text1"/>
          <w:kern w:val="0"/>
          <w:sz w:val="24"/>
          <w:szCs w:val="24"/>
          <w:highlight w:val="none"/>
          <w14:textFill>
            <w14:solidFill>
              <w14:schemeClr w14:val="tx1"/>
            </w14:solidFill>
          </w14:textFill>
        </w:rPr>
        <w:t>经甲乙双方友好协商，按本合同之约定由乙方向甲方提供维护服务。服务范围为：</w:t>
      </w:r>
      <w:bookmarkStart w:id="1" w:name="_Toc363042007"/>
      <w:bookmarkStart w:id="2" w:name="_Toc363041984"/>
      <w:bookmarkStart w:id="3" w:name="_Toc363041268"/>
      <w:bookmarkStart w:id="4" w:name="_Toc363041850"/>
      <w:bookmarkStart w:id="5" w:name="_Toc363115683"/>
      <w:r>
        <w:rPr>
          <w:rFonts w:hint="default" w:ascii="Arial" w:hAnsi="Arial" w:cs="Arial" w:eastAsiaTheme="majorEastAsia"/>
          <w:b w:val="0"/>
          <w:bCs/>
          <w:sz w:val="32"/>
          <w:szCs w:val="32"/>
          <w:highlight w:val="none"/>
          <w:u w:val="single"/>
          <w:lang w:eastAsia="zh-CN"/>
        </w:rPr>
        <w:t>××××</w:t>
      </w:r>
      <w:r>
        <w:rPr>
          <w:rFonts w:hint="eastAsia" w:ascii="宋体" w:hAnsi="宋体" w:eastAsia="宋体" w:cs="宋体"/>
          <w:sz w:val="24"/>
          <w:szCs w:val="24"/>
          <w:highlight w:val="none"/>
        </w:rPr>
        <w:t>信息系统</w:t>
      </w:r>
      <w:r>
        <w:rPr>
          <w:rFonts w:hint="eastAsia" w:ascii="宋体" w:hAnsi="宋体" w:eastAsia="宋体" w:cs="宋体"/>
          <w:sz w:val="24"/>
          <w:szCs w:val="24"/>
          <w:highlight w:val="none"/>
          <w:lang w:eastAsia="zh-CN"/>
        </w:rPr>
        <w:t>。</w:t>
      </w:r>
    </w:p>
    <w:p w14:paraId="6F6E9EED">
      <w:pPr>
        <w:pStyle w:val="3"/>
        <w:keepNext w:val="0"/>
        <w:keepLines w:val="0"/>
        <w:pageBreakBefore w:val="0"/>
        <w:widowControl w:val="0"/>
        <w:numPr>
          <w:ilvl w:val="0"/>
          <w:numId w:val="0"/>
        </w:numPr>
        <w:kinsoku/>
        <w:wordWrap/>
        <w:overflowPunct/>
        <w:topLinePunct/>
        <w:autoSpaceDE/>
        <w:autoSpaceDN/>
        <w:bidi w:val="0"/>
        <w:snapToGrid/>
        <w:spacing w:line="360" w:lineRule="auto"/>
        <w:ind w:leftChars="0"/>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第二条  合同金额</w:t>
      </w:r>
      <w:bookmarkEnd w:id="1"/>
      <w:bookmarkEnd w:id="2"/>
      <w:bookmarkEnd w:id="3"/>
      <w:bookmarkEnd w:id="4"/>
      <w:bookmarkEnd w:id="5"/>
      <w:bookmarkStart w:id="6" w:name="_Toc363115684"/>
      <w:r>
        <w:rPr>
          <w:rFonts w:hint="eastAsia" w:ascii="宋体" w:hAnsi="宋体" w:eastAsia="宋体" w:cs="宋体"/>
          <w:kern w:val="0"/>
          <w:sz w:val="24"/>
          <w:szCs w:val="24"/>
          <w:highlight w:val="none"/>
          <w:lang w:val="en-US" w:eastAsia="zh-CN"/>
        </w:rPr>
        <w:t>及期限</w:t>
      </w:r>
      <w:bookmarkEnd w:id="6"/>
    </w:p>
    <w:p w14:paraId="4C1DC10C">
      <w:pPr>
        <w:keepNext w:val="0"/>
        <w:keepLines w:val="0"/>
        <w:pageBreakBefore w:val="0"/>
        <w:widowControl w:val="0"/>
        <w:kinsoku/>
        <w:wordWrap/>
        <w:overflowPunct/>
        <w:topLinePunct/>
        <w:autoSpaceDE/>
        <w:autoSpaceDN/>
        <w:bidi w:val="0"/>
        <w:snapToGrid/>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本合同的维护服务费为人民币大写</w:t>
      </w:r>
      <w:r>
        <w:rPr>
          <w:rFonts w:hint="eastAsia" w:ascii="宋体" w:hAnsi="宋体" w:eastAsia="宋体" w:cs="宋体"/>
          <w:color w:val="000000" w:themeColor="text1"/>
          <w:kern w:val="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元整（</w:t>
      </w:r>
      <w:r>
        <w:rPr>
          <w:rFonts w:hint="eastAsia" w:ascii="宋体" w:hAnsi="宋体" w:eastAsia="宋体" w:cs="宋体"/>
          <w:b w:val="0"/>
          <w:i w:val="0"/>
          <w:iCs w:val="0"/>
          <w:color w:val="000000" w:themeColor="text1"/>
          <w:kern w:val="0"/>
          <w:sz w:val="24"/>
          <w:szCs w:val="24"/>
          <w:highlight w:val="none"/>
          <w:u w:val="single"/>
          <w:lang w:val="en-US" w:eastAsia="zh-CN" w:bidi="ar-SA"/>
          <w14:textFill>
            <w14:solidFill>
              <w14:schemeClr w14:val="tx1"/>
            </w14:solidFill>
          </w14:textFill>
        </w:rPr>
        <w:t>¥</w:t>
      </w:r>
      <w:r>
        <w:rPr>
          <w:rFonts w:hint="eastAsia" w:ascii="宋体" w:hAnsi="宋体" w:eastAsia="宋体" w:cs="宋体"/>
          <w:color w:val="000000" w:themeColor="text1"/>
          <w:kern w:val="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w:t>
      </w:r>
      <w:r>
        <w:rPr>
          <w:rFonts w:hint="eastAsia" w:ascii="宋体" w:hAnsi="宋体" w:eastAsia="宋体" w:cs="宋体"/>
          <w:color w:val="000000" w:themeColor="text1"/>
          <w:kern w:val="0"/>
          <w:sz w:val="24"/>
          <w:szCs w:val="24"/>
          <w:highlight w:val="none"/>
          <w:lang w:eastAsia="zh-CN"/>
          <w14:textFill>
            <w14:solidFill>
              <w14:schemeClr w14:val="tx1"/>
            </w14:solidFill>
          </w14:textFill>
        </w:rPr>
        <w:t>维护</w:t>
      </w:r>
      <w:r>
        <w:rPr>
          <w:rFonts w:hint="eastAsia" w:ascii="宋体" w:hAnsi="宋体" w:eastAsia="宋体" w:cs="宋体"/>
          <w:color w:val="000000" w:themeColor="text1"/>
          <w:kern w:val="0"/>
          <w:sz w:val="24"/>
          <w:szCs w:val="24"/>
          <w:highlight w:val="none"/>
          <w14:textFill>
            <w14:solidFill>
              <w14:schemeClr w14:val="tx1"/>
            </w14:solidFill>
          </w14:textFill>
        </w:rPr>
        <w:t>服务起</w:t>
      </w:r>
      <w:r>
        <w:rPr>
          <w:rFonts w:hint="eastAsia" w:ascii="宋体" w:hAnsi="宋体" w:eastAsia="宋体" w:cs="宋体"/>
          <w:color w:val="000000" w:themeColor="text1"/>
          <w:kern w:val="0"/>
          <w:sz w:val="24"/>
          <w:szCs w:val="24"/>
          <w:highlight w:val="none"/>
          <w:lang w:eastAsia="zh-CN"/>
          <w14:textFill>
            <w14:solidFill>
              <w14:schemeClr w14:val="tx1"/>
            </w14:solidFill>
          </w14:textFill>
        </w:rPr>
        <w:t>至</w:t>
      </w:r>
      <w:r>
        <w:rPr>
          <w:rFonts w:hint="eastAsia" w:ascii="宋体" w:hAnsi="宋体" w:eastAsia="宋体" w:cs="宋体"/>
          <w:color w:val="000000" w:themeColor="text1"/>
          <w:kern w:val="0"/>
          <w:sz w:val="24"/>
          <w:szCs w:val="24"/>
          <w:highlight w:val="none"/>
          <w14:textFill>
            <w14:solidFill>
              <w14:schemeClr w14:val="tx1"/>
            </w14:solidFill>
          </w14:textFill>
        </w:rPr>
        <w:t>期限：自</w:t>
      </w:r>
      <w:r>
        <w:rPr>
          <w:rFonts w:hint="eastAsia" w:ascii="宋体" w:hAnsi="宋体" w:eastAsia="宋体" w:cs="宋体"/>
          <w:color w:val="000000" w:themeColor="text1"/>
          <w:kern w:val="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年</w:t>
      </w:r>
      <w:r>
        <w:rPr>
          <w:rFonts w:hint="eastAsia" w:ascii="宋体" w:hAnsi="宋体" w:eastAsia="宋体" w:cs="宋体"/>
          <w:color w:val="000000" w:themeColor="text1"/>
          <w:kern w:val="0"/>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月</w:t>
      </w:r>
      <w:r>
        <w:rPr>
          <w:rFonts w:hint="eastAsia" w:ascii="宋体" w:hAnsi="宋体" w:eastAsia="宋体" w:cs="宋体"/>
          <w:color w:val="000000" w:themeColor="text1"/>
          <w:kern w:val="0"/>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日至</w:t>
      </w:r>
      <w:r>
        <w:rPr>
          <w:rFonts w:hint="eastAsia" w:ascii="宋体" w:hAnsi="宋体" w:eastAsia="宋体" w:cs="宋体"/>
          <w:color w:val="000000" w:themeColor="text1"/>
          <w:kern w:val="0"/>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年</w:t>
      </w:r>
      <w:r>
        <w:rPr>
          <w:rFonts w:hint="eastAsia" w:ascii="宋体" w:hAnsi="宋体" w:eastAsia="宋体" w:cs="宋体"/>
          <w:color w:val="000000" w:themeColor="text1"/>
          <w:kern w:val="0"/>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月</w:t>
      </w:r>
      <w:r>
        <w:rPr>
          <w:rFonts w:hint="eastAsia" w:ascii="宋体" w:hAnsi="宋体" w:eastAsia="宋体" w:cs="宋体"/>
          <w:color w:val="000000" w:themeColor="text1"/>
          <w:kern w:val="0"/>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日止。</w:t>
      </w:r>
    </w:p>
    <w:p w14:paraId="2AF40E7D">
      <w:pPr>
        <w:pStyle w:val="3"/>
        <w:keepNext w:val="0"/>
        <w:keepLines w:val="0"/>
        <w:pageBreakBefore w:val="0"/>
        <w:widowControl w:val="0"/>
        <w:numPr>
          <w:ilvl w:val="0"/>
          <w:numId w:val="0"/>
        </w:numPr>
        <w:kinsoku/>
        <w:wordWrap/>
        <w:overflowPunct/>
        <w:topLinePunct/>
        <w:autoSpaceDE/>
        <w:autoSpaceDN/>
        <w:bidi w:val="0"/>
        <w:snapToGrid/>
        <w:spacing w:line="360" w:lineRule="auto"/>
        <w:ind w:leftChars="0"/>
        <w:rPr>
          <w:rFonts w:hint="eastAsia" w:ascii="宋体" w:hAnsi="宋体" w:eastAsia="宋体" w:cs="宋体"/>
          <w:kern w:val="0"/>
          <w:sz w:val="24"/>
          <w:szCs w:val="24"/>
          <w:highlight w:val="none"/>
        </w:rPr>
      </w:pPr>
      <w:bookmarkStart w:id="7" w:name="_Toc363115685"/>
      <w:r>
        <w:rPr>
          <w:rFonts w:hint="eastAsia" w:ascii="宋体" w:hAnsi="宋体" w:eastAsia="宋体" w:cs="宋体"/>
          <w:kern w:val="0"/>
          <w:sz w:val="24"/>
          <w:szCs w:val="24"/>
          <w:highlight w:val="none"/>
          <w:lang w:val="en-US" w:eastAsia="zh-CN"/>
        </w:rPr>
        <w:t>第三条  付款方式</w:t>
      </w:r>
      <w:bookmarkEnd w:id="7"/>
    </w:p>
    <w:p w14:paraId="0AD34DDC">
      <w:pPr>
        <w:spacing w:line="360" w:lineRule="auto"/>
        <w:ind w:firstLine="482" w:firstLineChars="200"/>
        <w:rPr>
          <w:rFonts w:hint="eastAsia" w:asciiTheme="minorEastAsia" w:hAnsiTheme="minorEastAsia" w:eastAsiaTheme="minorEastAsia"/>
          <w:b/>
          <w:color w:val="FF0000"/>
          <w:sz w:val="24"/>
          <w:szCs w:val="24"/>
          <w:highlight w:val="none"/>
          <w:lang w:eastAsia="zh-CN"/>
        </w:rPr>
      </w:pPr>
      <w:r>
        <w:rPr>
          <w:rFonts w:hint="eastAsia" w:asciiTheme="minorEastAsia" w:hAnsiTheme="minorEastAsia"/>
          <w:b/>
          <w:color w:val="FF0000"/>
          <w:sz w:val="24"/>
          <w:szCs w:val="24"/>
          <w:highlight w:val="none"/>
          <w:lang w:eastAsia="zh-CN"/>
        </w:rPr>
        <w:t>（具体内容以本项目招议标相关文件要求以及甲乙双方共同商定为准，此处文字仅供参考）</w:t>
      </w:r>
    </w:p>
    <w:p w14:paraId="03A61A03">
      <w:pPr>
        <w:pStyle w:val="6"/>
        <w:keepNext w:val="0"/>
        <w:keepLines w:val="0"/>
        <w:pageBreakBefore w:val="0"/>
        <w:widowControl w:val="0"/>
        <w:numPr>
          <w:ilvl w:val="0"/>
          <w:numId w:val="0"/>
        </w:numPr>
        <w:kinsoku/>
        <w:wordWrap/>
        <w:overflowPunct/>
        <w:topLinePunct w:val="0"/>
        <w:autoSpaceDE/>
        <w:autoSpaceDN/>
        <w:bidi w:val="0"/>
        <w:adjustRightInd w:val="0"/>
        <w:snapToGrid/>
        <w:spacing w:before="60" w:after="60" w:line="360" w:lineRule="auto"/>
        <w:ind w:firstLine="480" w:firstLineChars="200"/>
        <w:textAlignment w:val="baseline"/>
        <w:rPr>
          <w:rFonts w:hint="eastAsia" w:ascii="宋体" w:hAnsi="宋体" w:eastAsia="宋体" w:cs="宋体"/>
          <w:b w:val="0"/>
          <w:color w:val="000000" w:themeColor="text1"/>
          <w:kern w:val="0"/>
          <w:sz w:val="24"/>
          <w:szCs w:val="24"/>
          <w:highlight w:val="none"/>
          <w:u w:val="none"/>
          <w:lang w:val="en-US"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u w:val="none"/>
          <w:lang w:val="en-US" w:eastAsia="zh-CN" w:bidi="ar-SA"/>
          <w14:textFill>
            <w14:solidFill>
              <w14:schemeClr w14:val="tx1"/>
            </w14:solidFill>
          </w14:textFill>
        </w:rPr>
        <w:t>付款条件说明： 双方签订合同正式生效后 ，达到付款条件起 15日内，支付合同总金额的 50.00%。</w:t>
      </w:r>
    </w:p>
    <w:p w14:paraId="7DE5CD6C">
      <w:pPr>
        <w:pStyle w:val="6"/>
        <w:keepNext w:val="0"/>
        <w:keepLines w:val="0"/>
        <w:pageBreakBefore w:val="0"/>
        <w:widowControl w:val="0"/>
        <w:numPr>
          <w:ilvl w:val="0"/>
          <w:numId w:val="0"/>
        </w:numPr>
        <w:kinsoku/>
        <w:wordWrap/>
        <w:overflowPunct/>
        <w:topLinePunct w:val="0"/>
        <w:autoSpaceDE/>
        <w:autoSpaceDN/>
        <w:bidi w:val="0"/>
        <w:adjustRightInd w:val="0"/>
        <w:snapToGrid/>
        <w:spacing w:before="60" w:after="60" w:line="360" w:lineRule="auto"/>
        <w:ind w:firstLine="480" w:firstLineChars="200"/>
        <w:textAlignment w:val="baseline"/>
        <w:rPr>
          <w:rFonts w:hint="eastAsia" w:ascii="宋体" w:hAnsi="宋体" w:eastAsia="宋体" w:cs="宋体"/>
          <w:b w:val="0"/>
          <w:color w:val="000000" w:themeColor="text1"/>
          <w:kern w:val="0"/>
          <w:sz w:val="24"/>
          <w:szCs w:val="24"/>
          <w:highlight w:val="none"/>
          <w:u w:val="none"/>
          <w:lang w:val="en-US"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u w:val="none"/>
          <w:lang w:val="en-US" w:eastAsia="zh-CN" w:bidi="ar-SA"/>
          <w14:textFill>
            <w14:solidFill>
              <w14:schemeClr w14:val="tx1"/>
            </w14:solidFill>
          </w14:textFill>
        </w:rPr>
        <w:t xml:space="preserve"> 维保期满，符合相关约定，经采购人验收合格后，支付合同余款（每次付款前，中标人需开具等额的增值税普通发票给采购人，采购人收到发票后付款） ，达到付款条件起15日内，支付合同总金额的 50.00%。</w:t>
      </w:r>
    </w:p>
    <w:p w14:paraId="08756C68">
      <w:pPr>
        <w:keepNext w:val="0"/>
        <w:keepLines w:val="0"/>
        <w:pageBreakBefore w:val="0"/>
        <w:widowControl w:val="0"/>
        <w:kinsoku/>
        <w:wordWrap/>
        <w:overflowPunct/>
        <w:autoSpaceDE/>
        <w:autoSpaceDN/>
        <w:bidi w:val="0"/>
        <w:snapToGrid/>
        <w:spacing w:line="360" w:lineRule="auto"/>
        <w:ind w:firstLine="360" w:firstLineChars="150"/>
        <w:rPr>
          <w:rFonts w:hint="eastAsia" w:ascii="宋体" w:hAnsi="宋体" w:eastAsia="宋体" w:cs="宋体"/>
          <w:sz w:val="24"/>
          <w:szCs w:val="24"/>
          <w:highlight w:val="none"/>
        </w:rPr>
      </w:pPr>
      <w:r>
        <w:rPr>
          <w:rFonts w:hint="eastAsia" w:ascii="宋体" w:hAnsi="宋体" w:eastAsia="宋体" w:cs="宋体"/>
          <w:sz w:val="24"/>
          <w:szCs w:val="24"/>
          <w:highlight w:val="none"/>
        </w:rPr>
        <w:t>乙方账户信息如下：</w:t>
      </w:r>
    </w:p>
    <w:p w14:paraId="013AFC72">
      <w:pPr>
        <w:keepNext w:val="0"/>
        <w:keepLines w:val="0"/>
        <w:pageBreakBefore w:val="0"/>
        <w:widowControl w:val="0"/>
        <w:kinsoku/>
        <w:wordWrap/>
        <w:overflowPunct/>
        <w:autoSpaceDE/>
        <w:autoSpaceDN/>
        <w:bidi w:val="0"/>
        <w:snapToGrid/>
        <w:spacing w:line="360" w:lineRule="auto"/>
        <w:ind w:firstLine="360" w:firstLineChars="15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 xml:space="preserve"> 开户名称：</w:t>
      </w:r>
      <w:r>
        <w:rPr>
          <w:rFonts w:hint="eastAsia" w:ascii="宋体" w:hAnsi="宋体" w:eastAsia="宋体" w:cs="宋体"/>
          <w:sz w:val="24"/>
          <w:szCs w:val="24"/>
          <w:highlight w:val="none"/>
          <w:u w:val="single"/>
          <w:lang w:val="en-US" w:eastAsia="zh-CN"/>
        </w:rPr>
        <w:t xml:space="preserve">                        </w:t>
      </w:r>
    </w:p>
    <w:p w14:paraId="3EF4745B">
      <w:pPr>
        <w:keepNext w:val="0"/>
        <w:keepLines w:val="0"/>
        <w:pageBreakBefore w:val="0"/>
        <w:widowControl w:val="0"/>
        <w:kinsoku/>
        <w:wordWrap/>
        <w:overflowPunct/>
        <w:autoSpaceDE/>
        <w:autoSpaceDN/>
        <w:bidi w:val="0"/>
        <w:snapToGrid/>
        <w:spacing w:line="360" w:lineRule="auto"/>
        <w:ind w:firstLine="360" w:firstLineChars="15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 xml:space="preserve"> 开户银行：</w:t>
      </w:r>
      <w:r>
        <w:rPr>
          <w:rFonts w:hint="eastAsia" w:ascii="宋体" w:hAnsi="宋体" w:eastAsia="宋体" w:cs="宋体"/>
          <w:sz w:val="24"/>
          <w:szCs w:val="24"/>
          <w:highlight w:val="none"/>
          <w:u w:val="single"/>
          <w:lang w:val="en-US" w:eastAsia="zh-CN"/>
        </w:rPr>
        <w:t xml:space="preserve">                        </w:t>
      </w:r>
    </w:p>
    <w:p w14:paraId="1E7C846A">
      <w:pPr>
        <w:keepNext w:val="0"/>
        <w:keepLines w:val="0"/>
        <w:pageBreakBefore w:val="0"/>
        <w:widowControl w:val="0"/>
        <w:kinsoku/>
        <w:wordWrap/>
        <w:overflowPunct/>
        <w:autoSpaceDE/>
        <w:autoSpaceDN/>
        <w:bidi w:val="0"/>
        <w:snapToGrid/>
        <w:spacing w:line="360" w:lineRule="auto"/>
        <w:rPr>
          <w:rFonts w:hint="default"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sz w:val="24"/>
          <w:szCs w:val="24"/>
          <w:highlight w:val="none"/>
        </w:rPr>
        <w:t xml:space="preserve">    银行帐号：</w:t>
      </w:r>
      <w:r>
        <w:rPr>
          <w:rFonts w:hint="eastAsia" w:ascii="宋体" w:hAnsi="宋体" w:eastAsia="宋体" w:cs="宋体"/>
          <w:sz w:val="24"/>
          <w:szCs w:val="24"/>
          <w:highlight w:val="none"/>
          <w:u w:val="single"/>
          <w:lang w:val="en-US" w:eastAsia="zh-CN"/>
        </w:rPr>
        <w:t xml:space="preserve">                        </w:t>
      </w:r>
    </w:p>
    <w:p w14:paraId="4A67BBEB">
      <w:pPr>
        <w:pStyle w:val="3"/>
        <w:keepNext w:val="0"/>
        <w:keepLines w:val="0"/>
        <w:pageBreakBefore w:val="0"/>
        <w:widowControl w:val="0"/>
        <w:numPr>
          <w:ilvl w:val="0"/>
          <w:numId w:val="0"/>
        </w:numPr>
        <w:kinsoku/>
        <w:wordWrap/>
        <w:overflowPunct/>
        <w:topLinePunct/>
        <w:autoSpaceDE/>
        <w:autoSpaceDN/>
        <w:bidi w:val="0"/>
        <w:snapToGrid/>
        <w:spacing w:line="360" w:lineRule="auto"/>
        <w:ind w:leftChars="0"/>
        <w:rPr>
          <w:rFonts w:hint="eastAsia" w:ascii="宋体" w:hAnsi="宋体" w:eastAsia="宋体" w:cs="宋体"/>
          <w:kern w:val="0"/>
          <w:sz w:val="24"/>
          <w:szCs w:val="24"/>
          <w:highlight w:val="none"/>
        </w:rPr>
      </w:pPr>
      <w:bookmarkStart w:id="8" w:name="_Toc363115686"/>
      <w:r>
        <w:rPr>
          <w:rFonts w:hint="eastAsia" w:ascii="宋体" w:hAnsi="宋体" w:eastAsia="宋体" w:cs="宋体"/>
          <w:kern w:val="0"/>
          <w:sz w:val="24"/>
          <w:szCs w:val="24"/>
          <w:highlight w:val="none"/>
          <w:lang w:val="en-US" w:eastAsia="zh-CN"/>
        </w:rPr>
        <w:t>第四条  服务内容及乙方责任</w:t>
      </w:r>
      <w:bookmarkEnd w:id="8"/>
    </w:p>
    <w:p w14:paraId="5E14DEED">
      <w:pPr>
        <w:keepNext w:val="0"/>
        <w:keepLines w:val="0"/>
        <w:pageBreakBefore w:val="0"/>
        <w:widowControl w:val="0"/>
        <w:kinsoku/>
        <w:wordWrap/>
        <w:overflowPunct/>
        <w:autoSpaceDE/>
        <w:autoSpaceDN/>
        <w:bidi w:val="0"/>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乙方保障软件的正常运行，对软件中存在的缺陷进行升级和优化，确保软件的正常使用。</w:t>
      </w:r>
    </w:p>
    <w:p w14:paraId="0B4FA210">
      <w:pPr>
        <w:keepNext w:val="0"/>
        <w:keepLines w:val="0"/>
        <w:pageBreakBefore w:val="0"/>
        <w:widowControl w:val="0"/>
        <w:kinsoku/>
        <w:wordWrap/>
        <w:overflowPunct/>
        <w:autoSpaceDE/>
        <w:autoSpaceDN/>
        <w:bidi w:val="0"/>
        <w:snapToGrid/>
        <w:spacing w:line="360" w:lineRule="auto"/>
        <w:ind w:firstLine="480" w:firstLineChars="200"/>
        <w:rPr>
          <w:rFonts w:hint="eastAsia" w:ascii="宋体" w:hAnsi="宋体" w:eastAsia="宋体" w:cs="宋体"/>
          <w:b w:val="0"/>
          <w:bCs w:val="0"/>
          <w:sz w:val="24"/>
          <w:szCs w:val="24"/>
          <w:highlight w:val="none"/>
        </w:rPr>
      </w:pPr>
      <w:r>
        <w:rPr>
          <w:rFonts w:hint="eastAsia" w:ascii="宋体" w:hAnsi="宋体" w:eastAsia="宋体" w:cs="宋体"/>
          <w:sz w:val="24"/>
          <w:szCs w:val="24"/>
          <w:highlight w:val="none"/>
        </w:rPr>
        <w:t>甲方向乙方提供的有关数据资料均视为甲方的商业秘密，乙方不得向任何第三方泄露。本合同所界定的服务是指乙方在上述维护期限内提供给甲方的软件应用的支持和培训服务，包括软件</w:t>
      </w:r>
      <w:r>
        <w:rPr>
          <w:rFonts w:hint="eastAsia" w:ascii="宋体" w:hAnsi="宋体" w:eastAsia="宋体" w:cs="宋体"/>
          <w:b w:val="0"/>
          <w:bCs w:val="0"/>
          <w:sz w:val="24"/>
          <w:szCs w:val="24"/>
          <w:highlight w:val="none"/>
        </w:rPr>
        <w:t>电话支持、用户培训、故障维护等，具体说明如下：</w:t>
      </w:r>
    </w:p>
    <w:p w14:paraId="56896531">
      <w:pPr>
        <w:keepNext w:val="0"/>
        <w:keepLines w:val="0"/>
        <w:pageBreakBefore w:val="0"/>
        <w:widowControl w:val="0"/>
        <w:kinsoku/>
        <w:wordWrap/>
        <w:overflowPunct/>
        <w:autoSpaceDE/>
        <w:autoSpaceDN/>
        <w:bidi w:val="0"/>
        <w:snapToGri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 服务期内为医院提供现有HIS系统和集成平台产品的维护支持服务，保障医院HIS系统和集成平台产品的稳定运行。包括但不限于安装、配置、运行监控、补丁收集及维护、故障解决、健康检查、系统调优、应急处理、安全保障等。</w:t>
      </w:r>
    </w:p>
    <w:p w14:paraId="69D335A4">
      <w:pPr>
        <w:keepNext w:val="0"/>
        <w:keepLines w:val="0"/>
        <w:pageBreakBefore w:val="0"/>
        <w:widowControl w:val="0"/>
        <w:kinsoku/>
        <w:wordWrap/>
        <w:overflowPunct/>
        <w:autoSpaceDE/>
        <w:autoSpaceDN/>
        <w:bidi w:val="0"/>
        <w:snapToGri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（2）技术支持：处理HIS系统和集成平台产品日常问题，如软件客户端安装、操作（使用）人员培训、科室问题解答、后台数据纠错修改、数据传输、常规系统故障排除等情况。</w:t>
      </w:r>
    </w:p>
    <w:p w14:paraId="30545AD0">
      <w:pPr>
        <w:keepNext w:val="0"/>
        <w:keepLines w:val="0"/>
        <w:pageBreakBefore w:val="0"/>
        <w:widowControl w:val="0"/>
        <w:kinsoku/>
        <w:wordWrap/>
        <w:overflowPunct/>
        <w:autoSpaceDE/>
        <w:autoSpaceDN/>
        <w:bidi w:val="0"/>
        <w:snapToGri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（3）提供医院HIS系统和集成平台产品的流程变更，业务调整的可行性改造方案。</w:t>
      </w:r>
    </w:p>
    <w:p w14:paraId="1D26C2A4">
      <w:pPr>
        <w:keepNext w:val="0"/>
        <w:keepLines w:val="0"/>
        <w:pageBreakBefore w:val="0"/>
        <w:widowControl w:val="0"/>
        <w:kinsoku/>
        <w:wordWrap/>
        <w:overflowPunct/>
        <w:autoSpaceDE/>
        <w:autoSpaceDN/>
        <w:bidi w:val="0"/>
        <w:snapToGri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 改造、新增原有HIS系统和集成平台产品功能，适应医院管理流程、业务流程。</w:t>
      </w:r>
    </w:p>
    <w:p w14:paraId="7B55F5AB">
      <w:pPr>
        <w:keepNext w:val="0"/>
        <w:keepLines w:val="0"/>
        <w:pageBreakBefore w:val="0"/>
        <w:widowControl w:val="0"/>
        <w:kinsoku/>
        <w:wordWrap/>
        <w:overflowPunct/>
        <w:autoSpaceDE/>
        <w:autoSpaceDN/>
        <w:bidi w:val="0"/>
        <w:snapToGri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（5）负责现有HIS系统和集成平台底层数据库、表结构以及在医院现有系统基础上所完成的个性化功能的修改及维护。</w:t>
      </w:r>
    </w:p>
    <w:p w14:paraId="0098A1F9">
      <w:pPr>
        <w:keepNext w:val="0"/>
        <w:keepLines w:val="0"/>
        <w:pageBreakBefore w:val="0"/>
        <w:widowControl w:val="0"/>
        <w:kinsoku/>
        <w:wordWrap/>
        <w:overflowPunct/>
        <w:autoSpaceDE/>
        <w:autoSpaceDN/>
        <w:bidi w:val="0"/>
        <w:snapToGri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 协助医院排除解决因第三方软件系统运行故障连带造成的HIS系统和集成平台产品运行故障问题，及可能涉及和产生的相关系统接口改造。</w:t>
      </w:r>
    </w:p>
    <w:p w14:paraId="7BE28604">
      <w:pPr>
        <w:keepNext w:val="0"/>
        <w:keepLines w:val="0"/>
        <w:pageBreakBefore w:val="0"/>
        <w:widowControl w:val="0"/>
        <w:kinsoku/>
        <w:wordWrap/>
        <w:overflowPunct/>
        <w:autoSpaceDE/>
        <w:autoSpaceDN/>
        <w:bidi w:val="0"/>
        <w:snapToGri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 协助医院排除解决因硬件因素造成的系统运行故障连带造成HIS系统和集成平台产品运行故障问题。</w:t>
      </w:r>
    </w:p>
    <w:p w14:paraId="3FAF4982">
      <w:pPr>
        <w:keepNext w:val="0"/>
        <w:keepLines w:val="0"/>
        <w:pageBreakBefore w:val="0"/>
        <w:widowControl w:val="0"/>
        <w:kinsoku/>
        <w:wordWrap/>
        <w:overflowPunct/>
        <w:autoSpaceDE/>
        <w:autoSpaceDN/>
        <w:bidi w:val="0"/>
        <w:snapToGri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（8）每季度向医院提供符合国家政策要求的信息化建设建议（如医院流程优化、医院管理咨询）。</w:t>
      </w:r>
    </w:p>
    <w:p w14:paraId="5393C84B">
      <w:pPr>
        <w:keepNext w:val="0"/>
        <w:keepLines w:val="0"/>
        <w:pageBreakBefore w:val="0"/>
        <w:widowControl w:val="0"/>
        <w:kinsoku/>
        <w:wordWrap/>
        <w:overflowPunct/>
        <w:autoSpaceDE/>
        <w:autoSpaceDN/>
        <w:bidi w:val="0"/>
        <w:snapToGri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 配合医院在规定时间内，解决国家及上级主管部门下发的系统改造、报表更改、程序开发等问题。</w:t>
      </w:r>
    </w:p>
    <w:p w14:paraId="103B534D">
      <w:pPr>
        <w:keepNext w:val="0"/>
        <w:keepLines w:val="0"/>
        <w:pageBreakBefore w:val="0"/>
        <w:widowControl w:val="0"/>
        <w:kinsoku/>
        <w:wordWrap/>
        <w:overflowPunct/>
        <w:autoSpaceDE/>
        <w:autoSpaceDN/>
        <w:bidi w:val="0"/>
        <w:snapToGri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 配合医院完成HIS系统和集成平台产品相关的其它系统对接服务。</w:t>
      </w:r>
    </w:p>
    <w:p w14:paraId="424BA777">
      <w:pPr>
        <w:keepNext w:val="0"/>
        <w:keepLines w:val="0"/>
        <w:pageBreakBefore w:val="0"/>
        <w:widowControl w:val="0"/>
        <w:kinsoku/>
        <w:wordWrap/>
        <w:overflowPunct/>
        <w:autoSpaceDE/>
        <w:autoSpaceDN/>
        <w:bidi w:val="0"/>
        <w:snapToGri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（11）巡检服务：工程师定期到医院，对系统存在的问题和不足进行沟通了解，并对问题进行现场处理，并对医院信息化建设发展提出合理建议。</w:t>
      </w:r>
    </w:p>
    <w:p w14:paraId="751E776E">
      <w:pPr>
        <w:keepNext w:val="0"/>
        <w:keepLines w:val="0"/>
        <w:pageBreakBefore w:val="0"/>
        <w:widowControl w:val="0"/>
        <w:kinsoku/>
        <w:wordWrap/>
        <w:overflowPunct/>
        <w:autoSpaceDE/>
        <w:autoSpaceDN/>
        <w:bidi w:val="0"/>
        <w:snapToGrid/>
        <w:spacing w:line="360" w:lineRule="auto"/>
        <w:ind w:firstLine="480" w:firstLineChars="200"/>
        <w:rPr>
          <w:rFonts w:hint="eastAsia"/>
          <w:highlight w:val="none"/>
        </w:rPr>
      </w:pPr>
      <w:r>
        <w:rPr>
          <w:rFonts w:hint="eastAsia" w:ascii="宋体" w:hAnsi="宋体" w:eastAsia="宋体" w:cs="宋体"/>
          <w:sz w:val="24"/>
          <w:szCs w:val="24"/>
          <w:highlight w:val="none"/>
          <w:lang w:val="en-US" w:eastAsia="zh-CN"/>
        </w:rPr>
        <w:t xml:space="preserve">    每月1次上门巡检服务，每次不低于3个工作日，或累计每季度不低于10个工作日。巡检完成后提供巡检保养反馈，反馈报告应包含但不限于以下内容：巡检保养时间，保养内容等，并由各科负责人签字确认。</w:t>
      </w:r>
    </w:p>
    <w:p w14:paraId="0565178D">
      <w:pPr>
        <w:keepNext w:val="0"/>
        <w:keepLines w:val="0"/>
        <w:pageBreakBefore w:val="0"/>
        <w:widowControl w:val="0"/>
        <w:kinsoku/>
        <w:wordWrap/>
        <w:overflowPunct/>
        <w:autoSpaceDE/>
        <w:autoSpaceDN/>
        <w:bidi w:val="0"/>
        <w:snapToGrid/>
        <w:spacing w:line="360" w:lineRule="auto"/>
        <w:ind w:firstLine="480" w:firstLineChars="20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12</w:t>
      </w:r>
      <w:r>
        <w:rPr>
          <w:rFonts w:hint="eastAsia" w:ascii="宋体" w:hAnsi="宋体" w:eastAsia="宋体" w:cs="宋体"/>
          <w:b w:val="0"/>
          <w:bCs w:val="0"/>
          <w:sz w:val="24"/>
          <w:szCs w:val="24"/>
          <w:highlight w:val="none"/>
        </w:rPr>
        <w:t>）用户培训：乙方负责软件更改后造成软件操作变化的使用培训，培训对象</w:t>
      </w:r>
      <w:r>
        <w:rPr>
          <w:rFonts w:hint="eastAsia" w:ascii="宋体" w:hAnsi="宋体" w:eastAsia="宋体" w:cs="宋体"/>
          <w:b w:val="0"/>
          <w:bCs w:val="0"/>
          <w:sz w:val="24"/>
          <w:szCs w:val="24"/>
          <w:highlight w:val="none"/>
          <w:lang w:val="en-US" w:eastAsia="zh-CN"/>
        </w:rPr>
        <w:t>包括但不限于</w:t>
      </w:r>
      <w:r>
        <w:rPr>
          <w:rFonts w:hint="eastAsia" w:ascii="宋体" w:hAnsi="宋体" w:eastAsia="宋体" w:cs="宋体"/>
          <w:b w:val="0"/>
          <w:bCs w:val="0"/>
          <w:sz w:val="24"/>
          <w:szCs w:val="24"/>
          <w:highlight w:val="none"/>
        </w:rPr>
        <w:t>医生、护士、技术工程师、业务科室的关键用户。乙方同时向甲方提供新功能使用说明。</w:t>
      </w:r>
    </w:p>
    <w:p w14:paraId="28690EFC">
      <w:pPr>
        <w:keepNext w:val="0"/>
        <w:keepLines w:val="0"/>
        <w:pageBreakBefore w:val="0"/>
        <w:widowControl w:val="0"/>
        <w:kinsoku/>
        <w:wordWrap/>
        <w:overflowPunct/>
        <w:autoSpaceDE/>
        <w:autoSpaceDN/>
        <w:bidi w:val="0"/>
        <w:snapToGrid/>
        <w:spacing w:line="360" w:lineRule="auto"/>
        <w:ind w:firstLine="480" w:firstLineChars="20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13</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服务响应</w:t>
      </w:r>
      <w:r>
        <w:rPr>
          <w:rFonts w:hint="eastAsia" w:ascii="宋体" w:hAnsi="宋体" w:eastAsia="宋体" w:cs="宋体"/>
          <w:b w:val="0"/>
          <w:bCs w:val="0"/>
          <w:sz w:val="24"/>
          <w:szCs w:val="24"/>
          <w:highlight w:val="none"/>
        </w:rPr>
        <w:t>：</w:t>
      </w:r>
    </w:p>
    <w:p w14:paraId="3BA2918D">
      <w:pPr>
        <w:keepNext w:val="0"/>
        <w:keepLines w:val="0"/>
        <w:pageBreakBefore w:val="0"/>
        <w:widowControl w:val="0"/>
        <w:kinsoku/>
        <w:wordWrap/>
        <w:overflowPunct/>
        <w:autoSpaceDE/>
        <w:autoSpaceDN/>
        <w:bidi w:val="0"/>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b w:val="0"/>
          <w:bCs w:val="0"/>
          <w:sz w:val="24"/>
          <w:szCs w:val="24"/>
          <w:highlight w:val="none"/>
        </w:rPr>
        <w:t>在维护期内，如软件系统故障，乙方</w:t>
      </w:r>
      <w:r>
        <w:rPr>
          <w:rFonts w:hint="eastAsia" w:ascii="宋体" w:hAnsi="宋体" w:eastAsia="宋体" w:cs="宋体"/>
          <w:sz w:val="24"/>
          <w:szCs w:val="24"/>
          <w:highlight w:val="none"/>
        </w:rPr>
        <w:t>需在接到通知后</w:t>
      </w:r>
      <w:r>
        <w:rPr>
          <w:rFonts w:hint="default" w:ascii="Arial" w:hAnsi="Arial" w:cs="Arial" w:eastAsiaTheme="majorEastAsia"/>
          <w:b w:val="0"/>
          <w:bCs/>
          <w:sz w:val="32"/>
          <w:szCs w:val="32"/>
          <w:highlight w:val="none"/>
          <w:u w:val="single"/>
          <w:lang w:eastAsia="zh-CN"/>
        </w:rPr>
        <w:t>××</w:t>
      </w:r>
      <w:r>
        <w:rPr>
          <w:rFonts w:hint="eastAsia" w:ascii="宋体" w:hAnsi="宋体" w:eastAsia="宋体" w:cs="宋体"/>
          <w:sz w:val="24"/>
          <w:szCs w:val="24"/>
          <w:highlight w:val="none"/>
        </w:rPr>
        <w:t>分钟内予以响应，共同协商解决方案。若需要工程师前往现场，除约定到达时间外，一般要求在</w:t>
      </w:r>
      <w:r>
        <w:rPr>
          <w:rFonts w:hint="default" w:ascii="Arial" w:hAnsi="Arial" w:cs="Arial" w:eastAsiaTheme="majorEastAsia"/>
          <w:b w:val="0"/>
          <w:bCs/>
          <w:sz w:val="32"/>
          <w:szCs w:val="32"/>
          <w:highlight w:val="none"/>
          <w:u w:val="single"/>
          <w:lang w:eastAsia="zh-CN"/>
        </w:rPr>
        <w:t>××</w:t>
      </w:r>
      <w:r>
        <w:rPr>
          <w:rFonts w:hint="eastAsia" w:ascii="宋体" w:hAnsi="宋体" w:eastAsia="宋体" w:cs="宋体"/>
          <w:sz w:val="24"/>
          <w:szCs w:val="24"/>
          <w:highlight w:val="none"/>
        </w:rPr>
        <w:t>小时到达甲方指定现场。工程师在到达现场后，经现场调查后，除约定时间外，一般要求</w:t>
      </w:r>
      <w:r>
        <w:rPr>
          <w:rFonts w:hint="default" w:ascii="Arial" w:hAnsi="Arial" w:cs="Arial" w:eastAsiaTheme="majorEastAsia"/>
          <w:b w:val="0"/>
          <w:bCs/>
          <w:sz w:val="32"/>
          <w:szCs w:val="32"/>
          <w:highlight w:val="none"/>
          <w:u w:val="single"/>
          <w:lang w:eastAsia="zh-CN"/>
        </w:rPr>
        <w:t>××</w:t>
      </w:r>
      <w:r>
        <w:rPr>
          <w:rFonts w:hint="eastAsia" w:ascii="宋体" w:hAnsi="宋体" w:eastAsia="宋体" w:cs="宋体"/>
          <w:sz w:val="24"/>
          <w:szCs w:val="24"/>
          <w:highlight w:val="none"/>
        </w:rPr>
        <w:t>小时内排除故障。如甲方因需求修改要求工程师现场维护的，乙方应在</w:t>
      </w:r>
      <w:r>
        <w:rPr>
          <w:rFonts w:hint="default" w:ascii="Arial" w:hAnsi="Arial" w:cs="Arial" w:eastAsiaTheme="majorEastAsia"/>
          <w:b w:val="0"/>
          <w:bCs/>
          <w:sz w:val="32"/>
          <w:szCs w:val="32"/>
          <w:highlight w:val="none"/>
          <w:u w:val="single"/>
          <w:lang w:eastAsia="zh-CN"/>
        </w:rPr>
        <w:t>××</w:t>
      </w:r>
      <w:r>
        <w:rPr>
          <w:rFonts w:hint="eastAsia" w:ascii="宋体" w:hAnsi="宋体" w:eastAsia="宋体" w:cs="宋体"/>
          <w:sz w:val="24"/>
          <w:szCs w:val="24"/>
          <w:highlight w:val="none"/>
        </w:rPr>
        <w:t>小时内予以回应，给出具体解决方案和时间表，经甲方批准后，遵照方案、时间表及本合同约定执行。</w:t>
      </w:r>
    </w:p>
    <w:p w14:paraId="3D316A71">
      <w:pPr>
        <w:pStyle w:val="3"/>
        <w:keepNext w:val="0"/>
        <w:keepLines w:val="0"/>
        <w:pageBreakBefore w:val="0"/>
        <w:widowControl w:val="0"/>
        <w:numPr>
          <w:ilvl w:val="0"/>
          <w:numId w:val="0"/>
        </w:numPr>
        <w:kinsoku/>
        <w:wordWrap/>
        <w:overflowPunct/>
        <w:topLinePunct/>
        <w:autoSpaceDE/>
        <w:autoSpaceDN/>
        <w:bidi w:val="0"/>
        <w:snapToGrid/>
        <w:spacing w:line="360" w:lineRule="auto"/>
        <w:ind w:leftChars="0"/>
        <w:rPr>
          <w:rFonts w:hint="eastAsia" w:ascii="宋体" w:hAnsi="宋体" w:eastAsia="宋体" w:cs="宋体"/>
          <w:kern w:val="0"/>
          <w:sz w:val="24"/>
          <w:szCs w:val="24"/>
          <w:highlight w:val="none"/>
          <w:lang w:val="en-US" w:eastAsia="zh-CN"/>
        </w:rPr>
      </w:pPr>
      <w:bookmarkStart w:id="9" w:name="_Toc363115687"/>
      <w:r>
        <w:rPr>
          <w:rFonts w:hint="eastAsia" w:ascii="宋体" w:hAnsi="宋体" w:eastAsia="宋体" w:cs="宋体"/>
          <w:kern w:val="0"/>
          <w:sz w:val="24"/>
          <w:szCs w:val="24"/>
          <w:highlight w:val="none"/>
          <w:lang w:val="en-US" w:eastAsia="zh-CN"/>
        </w:rPr>
        <w:t>第五条  甲方责任</w:t>
      </w:r>
      <w:bookmarkEnd w:id="9"/>
    </w:p>
    <w:p w14:paraId="2FAB8F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负责本合同范围内维护服务工作的组织、协调，确保做好配合工作，具体内容如下：</w:t>
      </w:r>
    </w:p>
    <w:p w14:paraId="6F1F419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提供监护设备清单（包括设备名称、型号、数量、制造商、负责人、所在科室等</w:t>
      </w:r>
      <w:r>
        <w:rPr>
          <w:rFonts w:hint="eastAsia" w:ascii="宋体" w:hAnsi="宋体" w:eastAsia="宋体" w:cs="宋体"/>
          <w:sz w:val="24"/>
          <w:szCs w:val="24"/>
          <w:highlight w:val="none"/>
          <w:lang w:eastAsia="zh-CN"/>
        </w:rPr>
        <w:t>）。</w:t>
      </w:r>
    </w:p>
    <w:p w14:paraId="195FC3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提供联机通信资料（如果厂商不能提供有关设备的联机通信资料，则不可联机）和连接监护设备的数据线。</w:t>
      </w:r>
    </w:p>
    <w:p w14:paraId="75A461E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甲方分管部门安排专人负责和协调售后维护的相关工作，以确保维护过程的顺利进行。</w:t>
      </w:r>
    </w:p>
    <w:p w14:paraId="538F65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涉及到甲方现有其他系统及数据时，甲方应有人员全程陪同，涉及操作时，应由甲方工作人员进行。</w:t>
      </w:r>
    </w:p>
    <w:p w14:paraId="4317C01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业务科室派专人负责系统的日常运行和故障报修，并在乙方进行现场售后维护时提供必要的支持与配合。</w:t>
      </w:r>
    </w:p>
    <w:p w14:paraId="50D70A0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甲方负责系统相关硬件（包括电脑、打印机、网络设备等）的维护、保养和报废工作。</w:t>
      </w:r>
    </w:p>
    <w:p w14:paraId="7DFA3EB6">
      <w:pPr>
        <w:spacing w:line="360" w:lineRule="auto"/>
        <w:rPr>
          <w:rFonts w:asciiTheme="minorEastAsia" w:hAnsiTheme="minorEastAsia"/>
          <w:b/>
          <w:sz w:val="24"/>
          <w:szCs w:val="24"/>
          <w:highlight w:val="none"/>
        </w:rPr>
      </w:pPr>
      <w:bookmarkStart w:id="10" w:name="_Toc363115688"/>
      <w:r>
        <w:rPr>
          <w:rFonts w:asciiTheme="minorEastAsia" w:hAnsiTheme="minorEastAsia"/>
          <w:b/>
          <w:sz w:val="24"/>
          <w:szCs w:val="24"/>
          <w:highlight w:val="none"/>
        </w:rPr>
        <w:t>第</w:t>
      </w:r>
      <w:r>
        <w:rPr>
          <w:rFonts w:hint="eastAsia" w:asciiTheme="minorEastAsia" w:hAnsiTheme="minorEastAsia"/>
          <w:b/>
          <w:sz w:val="24"/>
          <w:szCs w:val="24"/>
          <w:highlight w:val="none"/>
          <w:lang w:eastAsia="zh-CN"/>
        </w:rPr>
        <w:t>六</w:t>
      </w:r>
      <w:r>
        <w:rPr>
          <w:rFonts w:asciiTheme="minorEastAsia" w:hAnsiTheme="minorEastAsia"/>
          <w:b/>
          <w:sz w:val="24"/>
          <w:szCs w:val="24"/>
          <w:highlight w:val="none"/>
        </w:rPr>
        <w:t>条</w:t>
      </w:r>
      <w:r>
        <w:rPr>
          <w:rFonts w:hint="eastAsia" w:asciiTheme="minorEastAsia" w:hAnsiTheme="minorEastAsia"/>
          <w:b/>
          <w:sz w:val="24"/>
          <w:szCs w:val="24"/>
          <w:highlight w:val="none"/>
          <w:lang w:val="en-US" w:eastAsia="zh-CN"/>
        </w:rPr>
        <w:t xml:space="preserve"> </w:t>
      </w:r>
      <w:r>
        <w:rPr>
          <w:rFonts w:hint="eastAsia" w:ascii="宋体" w:hAnsi="宋体" w:eastAsia="宋体" w:cs="宋体"/>
          <w:b/>
          <w:bCs/>
          <w:kern w:val="0"/>
          <w:sz w:val="24"/>
          <w:szCs w:val="24"/>
          <w:highlight w:val="none"/>
          <w:lang w:val="en-US" w:eastAsia="zh-CN" w:bidi="ar-SA"/>
        </w:rPr>
        <w:t xml:space="preserve"> 保密约定</w:t>
      </w:r>
    </w:p>
    <w:p w14:paraId="767630BE">
      <w:pPr>
        <w:spacing w:line="360" w:lineRule="auto"/>
        <w:ind w:firstLine="480" w:firstLineChars="200"/>
        <w:rPr>
          <w:rFonts w:asciiTheme="minorEastAsia" w:hAnsiTheme="minorEastAsia"/>
          <w:sz w:val="24"/>
          <w:szCs w:val="24"/>
          <w:highlight w:val="none"/>
        </w:rPr>
      </w:pPr>
      <w:r>
        <w:rPr>
          <w:rFonts w:hint="eastAsia" w:asciiTheme="minorEastAsia" w:hAnsiTheme="minorEastAsia"/>
          <w:sz w:val="24"/>
          <w:szCs w:val="24"/>
          <w:highlight w:val="none"/>
          <w:lang w:eastAsia="zh-CN"/>
        </w:rPr>
        <w:t>（</w:t>
      </w:r>
      <w:r>
        <w:rPr>
          <w:rFonts w:hint="eastAsia" w:asciiTheme="minorEastAsia" w:hAnsiTheme="minorEastAsia"/>
          <w:sz w:val="24"/>
          <w:szCs w:val="24"/>
          <w:highlight w:val="none"/>
          <w:lang w:val="en-US" w:eastAsia="zh-CN"/>
        </w:rPr>
        <w:t>1</w:t>
      </w:r>
      <w:r>
        <w:rPr>
          <w:rFonts w:hint="eastAsia" w:asciiTheme="minorEastAsia" w:hAnsiTheme="minorEastAsia"/>
          <w:sz w:val="24"/>
          <w:szCs w:val="24"/>
          <w:highlight w:val="none"/>
          <w:lang w:eastAsia="zh-CN"/>
        </w:rPr>
        <w:t>）</w:t>
      </w:r>
      <w:r>
        <w:rPr>
          <w:rFonts w:asciiTheme="minorEastAsia" w:hAnsiTheme="minorEastAsia"/>
          <w:sz w:val="24"/>
          <w:szCs w:val="24"/>
          <w:highlight w:val="none"/>
        </w:rPr>
        <w:t>乙方应负责对甲方在应用软件的使用过程中编制及积累的数据、专业数据保密。</w:t>
      </w:r>
    </w:p>
    <w:p w14:paraId="42875C36">
      <w:pPr>
        <w:spacing w:line="360" w:lineRule="auto"/>
        <w:ind w:firstLine="480" w:firstLineChars="200"/>
        <w:rPr>
          <w:rFonts w:asciiTheme="minorEastAsia" w:hAnsiTheme="minorEastAsia"/>
          <w:sz w:val="24"/>
          <w:szCs w:val="24"/>
          <w:highlight w:val="none"/>
        </w:rPr>
      </w:pPr>
      <w:r>
        <w:rPr>
          <w:rFonts w:hint="eastAsia" w:asciiTheme="minorEastAsia" w:hAnsiTheme="minorEastAsia"/>
          <w:sz w:val="24"/>
          <w:szCs w:val="24"/>
          <w:highlight w:val="none"/>
          <w:lang w:eastAsia="zh-CN"/>
        </w:rPr>
        <w:t>（</w:t>
      </w:r>
      <w:r>
        <w:rPr>
          <w:rFonts w:hint="eastAsia" w:asciiTheme="minorEastAsia" w:hAnsiTheme="minorEastAsia"/>
          <w:sz w:val="24"/>
          <w:szCs w:val="24"/>
          <w:highlight w:val="none"/>
          <w:lang w:val="en-US" w:eastAsia="zh-CN"/>
        </w:rPr>
        <w:t>2</w:t>
      </w:r>
      <w:r>
        <w:rPr>
          <w:rFonts w:hint="eastAsia" w:asciiTheme="minorEastAsia" w:hAnsiTheme="minorEastAsia"/>
          <w:sz w:val="24"/>
          <w:szCs w:val="24"/>
          <w:highlight w:val="none"/>
          <w:lang w:eastAsia="zh-CN"/>
        </w:rPr>
        <w:t>）</w:t>
      </w:r>
      <w:r>
        <w:rPr>
          <w:rFonts w:hint="eastAsia" w:asciiTheme="minorEastAsia" w:hAnsiTheme="minorEastAsia"/>
          <w:sz w:val="24"/>
          <w:szCs w:val="24"/>
          <w:highlight w:val="none"/>
          <w:lang w:val="en-US" w:eastAsia="zh-CN"/>
        </w:rPr>
        <w:t>乙方在与甲方合作过程中，必须确保对甲方的资料、数据等信息的安全，未经甲方许可，不得复制、泄露、损坏甲方的任何信息，未经甲方同意，不得将承接政府服务项目获得的政府、公民个人等各种信息和资料提供给其他单位和个人。违反本规定的，甲方将依法追究中标人的法律责任，并要求乙方进行经济赔偿。</w:t>
      </w:r>
    </w:p>
    <w:p w14:paraId="0663C2E9">
      <w:pPr>
        <w:spacing w:line="360" w:lineRule="auto"/>
        <w:ind w:firstLine="480" w:firstLineChars="200"/>
        <w:rPr>
          <w:rFonts w:hint="eastAsia"/>
          <w:highlight w:val="none"/>
          <w:lang w:eastAsia="zh-CN"/>
        </w:rPr>
      </w:pPr>
      <w:r>
        <w:rPr>
          <w:rFonts w:hint="eastAsia" w:asciiTheme="minorEastAsia" w:hAnsiTheme="minorEastAsia"/>
          <w:sz w:val="24"/>
          <w:szCs w:val="24"/>
          <w:highlight w:val="none"/>
          <w:lang w:eastAsia="zh-CN"/>
        </w:rPr>
        <w:t>（</w:t>
      </w:r>
      <w:r>
        <w:rPr>
          <w:rFonts w:hint="eastAsia" w:asciiTheme="minorEastAsia" w:hAnsiTheme="minorEastAsia"/>
          <w:sz w:val="24"/>
          <w:szCs w:val="24"/>
          <w:highlight w:val="none"/>
          <w:lang w:val="en-US" w:eastAsia="zh-CN"/>
        </w:rPr>
        <w:t>3</w:t>
      </w:r>
      <w:r>
        <w:rPr>
          <w:rFonts w:hint="eastAsia" w:asciiTheme="minorEastAsia" w:hAnsiTheme="minorEastAsia"/>
          <w:sz w:val="24"/>
          <w:szCs w:val="24"/>
          <w:highlight w:val="none"/>
          <w:lang w:eastAsia="zh-CN"/>
        </w:rPr>
        <w:t>）</w:t>
      </w:r>
      <w:r>
        <w:rPr>
          <w:rFonts w:asciiTheme="minorEastAsia" w:hAnsiTheme="minorEastAsia"/>
          <w:sz w:val="24"/>
          <w:szCs w:val="24"/>
          <w:highlight w:val="none"/>
        </w:rPr>
        <w:t>乙方应妥善保管有关文件和资源，未经甲方书面许可，不得对其进行复制、仿造等操作</w:t>
      </w:r>
      <w:r>
        <w:rPr>
          <w:rFonts w:hint="eastAsia" w:asciiTheme="minorEastAsia" w:hAnsiTheme="minorEastAsia"/>
          <w:sz w:val="24"/>
          <w:szCs w:val="24"/>
          <w:highlight w:val="none"/>
          <w:lang w:eastAsia="zh-CN"/>
        </w:rPr>
        <w:t>。</w:t>
      </w:r>
    </w:p>
    <w:p w14:paraId="58C8601D">
      <w:pPr>
        <w:spacing w:line="360" w:lineRule="auto"/>
        <w:rPr>
          <w:rFonts w:asciiTheme="minorEastAsia" w:hAnsiTheme="minorEastAsia"/>
          <w:b/>
          <w:sz w:val="24"/>
          <w:szCs w:val="24"/>
          <w:highlight w:val="none"/>
        </w:rPr>
      </w:pPr>
      <w:r>
        <w:rPr>
          <w:rFonts w:hint="eastAsia" w:asciiTheme="minorEastAsia" w:hAnsiTheme="minorEastAsia"/>
          <w:b/>
          <w:sz w:val="24"/>
          <w:szCs w:val="24"/>
          <w:highlight w:val="none"/>
          <w:lang w:eastAsia="zh-CN"/>
        </w:rPr>
        <w:t>第七条</w:t>
      </w:r>
      <w:r>
        <w:rPr>
          <w:rFonts w:hint="eastAsia" w:asciiTheme="minorEastAsia" w:hAnsiTheme="minorEastAsia"/>
          <w:b/>
          <w:sz w:val="24"/>
          <w:szCs w:val="24"/>
          <w:highlight w:val="none"/>
          <w:lang w:val="en-US" w:eastAsia="zh-CN"/>
        </w:rPr>
        <w:t xml:space="preserve">  </w:t>
      </w:r>
      <w:r>
        <w:rPr>
          <w:rFonts w:hint="eastAsia" w:ascii="宋体" w:hAnsi="宋体" w:eastAsia="宋体" w:cs="宋体"/>
          <w:b/>
          <w:bCs/>
          <w:kern w:val="0"/>
          <w:sz w:val="24"/>
          <w:szCs w:val="24"/>
          <w:highlight w:val="none"/>
          <w:lang w:val="en-US" w:eastAsia="zh-CN" w:bidi="ar-SA"/>
        </w:rPr>
        <w:t>违约责任</w:t>
      </w:r>
    </w:p>
    <w:p w14:paraId="5A31B6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sz w:val="24"/>
          <w:szCs w:val="24"/>
          <w:highlight w:val="none"/>
          <w:lang w:eastAsia="zh-CN"/>
        </w:rPr>
      </w:pPr>
      <w:r>
        <w:rPr>
          <w:rFonts w:hint="eastAsia" w:asciiTheme="minorEastAsia" w:hAnsiTheme="minorEastAsia"/>
          <w:sz w:val="24"/>
          <w:szCs w:val="24"/>
          <w:highlight w:val="none"/>
          <w:lang w:eastAsia="zh-CN"/>
        </w:rPr>
        <w:t>（</w:t>
      </w:r>
      <w:r>
        <w:rPr>
          <w:rFonts w:hint="eastAsia" w:asciiTheme="minorEastAsia" w:hAnsiTheme="minorEastAsia"/>
          <w:sz w:val="24"/>
          <w:szCs w:val="24"/>
          <w:highlight w:val="none"/>
          <w:lang w:val="en-US" w:eastAsia="zh-CN"/>
        </w:rPr>
        <w:t>1</w:t>
      </w:r>
      <w:r>
        <w:rPr>
          <w:rFonts w:hint="eastAsia" w:asciiTheme="minorEastAsia" w:hAnsiTheme="minorEastAsia"/>
          <w:sz w:val="24"/>
          <w:szCs w:val="24"/>
          <w:highlight w:val="none"/>
          <w:lang w:eastAsia="zh-CN"/>
        </w:rPr>
        <w:t>）</w:t>
      </w:r>
      <w:r>
        <w:rPr>
          <w:rFonts w:asciiTheme="minorEastAsia" w:hAnsiTheme="minorEastAsia"/>
          <w:sz w:val="24"/>
          <w:szCs w:val="24"/>
          <w:highlight w:val="none"/>
        </w:rPr>
        <w:t>任何一方违反本协议导致本协议无法继续履行的，违约方需赔偿守约方违约金，该违约金不足以弥补守约方实际损失的，违约方应赔偿守约方所有实际损失</w:t>
      </w:r>
      <w:r>
        <w:rPr>
          <w:rFonts w:hint="eastAsia" w:asciiTheme="minorEastAsia" w:hAnsiTheme="minorEastAsia"/>
          <w:sz w:val="24"/>
          <w:szCs w:val="24"/>
          <w:highlight w:val="none"/>
        </w:rPr>
        <w:t>，项目实施过程中甲</w:t>
      </w:r>
      <w:r>
        <w:rPr>
          <w:rFonts w:hint="eastAsia" w:asciiTheme="minorEastAsia" w:hAnsiTheme="minorEastAsia"/>
          <w:sz w:val="24"/>
          <w:szCs w:val="24"/>
          <w:highlight w:val="none"/>
          <w:lang w:eastAsia="zh-CN"/>
        </w:rPr>
        <w:t>方一旦发现实施内容与</w:t>
      </w:r>
      <w:r>
        <w:rPr>
          <w:rFonts w:hint="eastAsia" w:asciiTheme="minorEastAsia" w:hAnsiTheme="minorEastAsia"/>
          <w:sz w:val="24"/>
          <w:szCs w:val="24"/>
          <w:highlight w:val="none"/>
          <w:lang w:val="en-US" w:eastAsia="zh-CN"/>
        </w:rPr>
        <w:t>采购</w:t>
      </w:r>
      <w:r>
        <w:rPr>
          <w:rFonts w:hint="eastAsia" w:asciiTheme="minorEastAsia" w:hAnsiTheme="minorEastAsia"/>
          <w:sz w:val="24"/>
          <w:szCs w:val="24"/>
          <w:highlight w:val="none"/>
          <w:lang w:eastAsia="zh-CN"/>
        </w:rPr>
        <w:t>文件要求及</w:t>
      </w:r>
      <w:r>
        <w:rPr>
          <w:rFonts w:hint="eastAsia" w:asciiTheme="minorEastAsia" w:hAnsiTheme="minorEastAsia"/>
          <w:sz w:val="24"/>
          <w:szCs w:val="24"/>
          <w:highlight w:val="none"/>
          <w:lang w:val="en-US" w:eastAsia="zh-CN"/>
        </w:rPr>
        <w:t>响应</w:t>
      </w:r>
      <w:r>
        <w:rPr>
          <w:rFonts w:hint="eastAsia" w:asciiTheme="minorEastAsia" w:hAnsiTheme="minorEastAsia"/>
          <w:sz w:val="24"/>
          <w:szCs w:val="24"/>
          <w:highlight w:val="none"/>
          <w:lang w:eastAsia="zh-CN"/>
        </w:rPr>
        <w:t>文件响应情况不一致，甲方有权书面通知乙方进行整改，经整改后仍不符合投标响应文件的，甲方有权解除合同，并且乙方需要承担违约责任，乙方需</w:t>
      </w:r>
      <w:bookmarkStart w:id="11" w:name="_Hlk74672066"/>
      <w:r>
        <w:rPr>
          <w:rFonts w:hint="eastAsia" w:asciiTheme="minorEastAsia" w:hAnsiTheme="minorEastAsia"/>
          <w:sz w:val="24"/>
          <w:szCs w:val="24"/>
          <w:highlight w:val="none"/>
          <w:lang w:eastAsia="zh-CN"/>
        </w:rPr>
        <w:t>支付合同总额的</w:t>
      </w:r>
      <w:r>
        <w:rPr>
          <w:rFonts w:hint="eastAsia" w:asciiTheme="minorEastAsia" w:hAnsiTheme="minorEastAsia"/>
          <w:sz w:val="24"/>
          <w:szCs w:val="24"/>
          <w:highlight w:val="none"/>
          <w:lang w:val="en-US" w:eastAsia="zh-CN"/>
        </w:rPr>
        <w:t>30</w:t>
      </w:r>
      <w:r>
        <w:rPr>
          <w:rFonts w:hint="eastAsia" w:asciiTheme="minorEastAsia" w:hAnsiTheme="minorEastAsia"/>
          <w:sz w:val="24"/>
          <w:szCs w:val="24"/>
          <w:highlight w:val="none"/>
          <w:lang w:eastAsia="zh-CN"/>
        </w:rPr>
        <w:t>%作为违约金</w:t>
      </w:r>
      <w:bookmarkEnd w:id="11"/>
      <w:r>
        <w:rPr>
          <w:rFonts w:hint="eastAsia" w:asciiTheme="minorEastAsia" w:hAnsiTheme="minorEastAsia"/>
          <w:sz w:val="24"/>
          <w:szCs w:val="24"/>
          <w:highlight w:val="none"/>
          <w:lang w:eastAsia="zh-CN"/>
        </w:rPr>
        <w:t>且返还甲方已经支付但未履行部分的款项。</w:t>
      </w:r>
    </w:p>
    <w:p w14:paraId="61364C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sz w:val="24"/>
          <w:szCs w:val="24"/>
          <w:highlight w:val="none"/>
          <w:lang w:eastAsia="zh-CN"/>
        </w:rPr>
      </w:pPr>
      <w:r>
        <w:rPr>
          <w:rFonts w:hint="eastAsia" w:asciiTheme="minorEastAsia" w:hAnsiTheme="minorEastAsia"/>
          <w:sz w:val="24"/>
          <w:szCs w:val="24"/>
          <w:highlight w:val="none"/>
          <w:lang w:eastAsia="zh-CN"/>
        </w:rPr>
        <w:t>（</w:t>
      </w:r>
      <w:r>
        <w:rPr>
          <w:rFonts w:hint="eastAsia" w:asciiTheme="minorEastAsia" w:hAnsiTheme="minorEastAsia"/>
          <w:sz w:val="24"/>
          <w:szCs w:val="24"/>
          <w:highlight w:val="none"/>
          <w:lang w:val="en-US" w:eastAsia="zh-CN"/>
        </w:rPr>
        <w:t>2</w:t>
      </w:r>
      <w:r>
        <w:rPr>
          <w:rFonts w:hint="eastAsia" w:asciiTheme="minorEastAsia" w:hAnsiTheme="minorEastAsia"/>
          <w:sz w:val="24"/>
          <w:szCs w:val="24"/>
          <w:highlight w:val="none"/>
          <w:lang w:eastAsia="zh-CN"/>
        </w:rPr>
        <w:t>）任何一方违反本合同保密条款的约定，守约方有权立即单方解除本合同。违约方还应向守约方赔偿全部损失。</w:t>
      </w:r>
    </w:p>
    <w:p w14:paraId="779A39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sz w:val="24"/>
          <w:szCs w:val="24"/>
          <w:highlight w:val="none"/>
          <w:lang w:eastAsia="zh-CN"/>
        </w:rPr>
      </w:pPr>
      <w:r>
        <w:rPr>
          <w:rFonts w:hint="eastAsia" w:asciiTheme="minorEastAsia" w:hAnsiTheme="minorEastAsia"/>
          <w:sz w:val="24"/>
          <w:szCs w:val="24"/>
          <w:highlight w:val="none"/>
          <w:lang w:eastAsia="zh-CN"/>
        </w:rPr>
        <w:t>（</w:t>
      </w:r>
      <w:r>
        <w:rPr>
          <w:rFonts w:hint="eastAsia" w:asciiTheme="minorEastAsia" w:hAnsiTheme="minorEastAsia"/>
          <w:sz w:val="24"/>
          <w:szCs w:val="24"/>
          <w:highlight w:val="none"/>
          <w:lang w:val="en-US" w:eastAsia="zh-CN"/>
        </w:rPr>
        <w:t>3</w:t>
      </w:r>
      <w:r>
        <w:rPr>
          <w:rFonts w:hint="eastAsia" w:asciiTheme="minorEastAsia" w:hAnsiTheme="minorEastAsia"/>
          <w:sz w:val="24"/>
          <w:szCs w:val="24"/>
          <w:highlight w:val="none"/>
          <w:lang w:eastAsia="zh-CN"/>
        </w:rPr>
        <w:t>）乙方因未能如期提供服务或因其他违约行为，甲方有权单方解除合同</w:t>
      </w:r>
      <w:r>
        <w:rPr>
          <w:rFonts w:hint="eastAsia" w:asciiTheme="minorEastAsia" w:hAnsiTheme="minorEastAsia"/>
          <w:sz w:val="24"/>
          <w:szCs w:val="24"/>
          <w:highlight w:val="none"/>
          <w:lang w:val="en-US" w:eastAsia="zh-CN"/>
        </w:rPr>
        <w:t>并要求乙方承担违约金</w:t>
      </w:r>
      <w:r>
        <w:rPr>
          <w:rFonts w:hint="eastAsia" w:asciiTheme="minorEastAsia" w:hAnsiTheme="minorEastAsia"/>
          <w:sz w:val="24"/>
          <w:szCs w:val="24"/>
          <w:highlight w:val="none"/>
          <w:lang w:eastAsia="zh-CN"/>
        </w:rPr>
        <w:t>。</w:t>
      </w:r>
    </w:p>
    <w:p w14:paraId="204CC8C8">
      <w:pPr>
        <w:pStyle w:val="3"/>
        <w:keepNext w:val="0"/>
        <w:keepLines w:val="0"/>
        <w:pageBreakBefore w:val="0"/>
        <w:widowControl w:val="0"/>
        <w:numPr>
          <w:ilvl w:val="0"/>
          <w:numId w:val="0"/>
        </w:numPr>
        <w:kinsoku/>
        <w:wordWrap/>
        <w:overflowPunct/>
        <w:topLinePunct/>
        <w:autoSpaceDE/>
        <w:autoSpaceDN/>
        <w:bidi w:val="0"/>
        <w:snapToGrid/>
        <w:spacing w:line="360" w:lineRule="auto"/>
        <w:ind w:leftChars="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eastAsia="zh-CN"/>
        </w:rPr>
        <w:t>第八条</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b/>
          <w:bCs/>
          <w:kern w:val="0"/>
          <w:sz w:val="24"/>
          <w:szCs w:val="24"/>
          <w:highlight w:val="none"/>
          <w:lang w:val="en-US" w:eastAsia="zh-CN" w:bidi="ar-SA"/>
        </w:rPr>
        <w:t xml:space="preserve"> 争议解决</w:t>
      </w:r>
      <w:bookmarkEnd w:id="10"/>
    </w:p>
    <w:p w14:paraId="725A1A3A">
      <w:pPr>
        <w:keepNext w:val="0"/>
        <w:keepLines w:val="0"/>
        <w:pageBreakBefore w:val="0"/>
        <w:widowControl w:val="0"/>
        <w:kinsoku/>
        <w:wordWrap/>
        <w:overflowPunct/>
        <w:autoSpaceDE/>
        <w:autoSpaceDN/>
        <w:bidi w:val="0"/>
        <w:snapToGrid/>
        <w:spacing w:line="360" w:lineRule="auto"/>
        <w:ind w:firstLine="425"/>
        <w:rPr>
          <w:rFonts w:hint="eastAsia" w:ascii="宋体" w:hAnsi="宋体" w:eastAsia="宋体" w:cs="宋体"/>
          <w:sz w:val="24"/>
          <w:szCs w:val="24"/>
          <w:highlight w:val="none"/>
        </w:rPr>
      </w:pPr>
      <w:r>
        <w:rPr>
          <w:rFonts w:hint="eastAsia" w:ascii="宋体" w:hAnsi="宋体" w:eastAsia="宋体" w:cs="宋体"/>
          <w:b w:val="0"/>
          <w:bCs w:val="0"/>
          <w:sz w:val="24"/>
          <w:szCs w:val="24"/>
          <w:highlight w:val="none"/>
        </w:rPr>
        <w:t>争议解决：有关本合</w:t>
      </w:r>
      <w:r>
        <w:rPr>
          <w:rFonts w:hint="eastAsia" w:ascii="宋体" w:hAnsi="宋体" w:eastAsia="宋体" w:cs="宋体"/>
          <w:sz w:val="24"/>
          <w:szCs w:val="24"/>
          <w:highlight w:val="none"/>
        </w:rPr>
        <w:t>同的一切争议，双方首先通过友好协商解决，协商不能解决时，向甲方所在地的人民法院诉讼解决。</w:t>
      </w:r>
      <w:bookmarkStart w:id="12" w:name="_Toc363115689"/>
    </w:p>
    <w:p w14:paraId="4FBA6ECD">
      <w:pPr>
        <w:pStyle w:val="3"/>
        <w:keepNext w:val="0"/>
        <w:keepLines w:val="0"/>
        <w:pageBreakBefore w:val="0"/>
        <w:widowControl w:val="0"/>
        <w:numPr>
          <w:ilvl w:val="0"/>
          <w:numId w:val="0"/>
        </w:numPr>
        <w:kinsoku/>
        <w:wordWrap/>
        <w:overflowPunct/>
        <w:topLinePunct/>
        <w:autoSpaceDE/>
        <w:autoSpaceDN/>
        <w:bidi w:val="0"/>
        <w:snapToGrid/>
        <w:spacing w:line="360" w:lineRule="auto"/>
        <w:ind w:leftChars="0"/>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eastAsia="zh-CN"/>
        </w:rPr>
        <w:t>第九条</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b/>
          <w:bCs/>
          <w:kern w:val="0"/>
          <w:sz w:val="24"/>
          <w:szCs w:val="24"/>
          <w:highlight w:val="none"/>
          <w:lang w:val="en-US" w:eastAsia="zh-CN" w:bidi="ar-SA"/>
        </w:rPr>
        <w:t>其他</w:t>
      </w:r>
      <w:bookmarkEnd w:id="12"/>
    </w:p>
    <w:p w14:paraId="15734F98">
      <w:pPr>
        <w:keepNext w:val="0"/>
        <w:keepLines w:val="0"/>
        <w:pageBreakBefore w:val="0"/>
        <w:widowControl w:val="0"/>
        <w:kinsoku/>
        <w:wordWrap/>
        <w:overflowPunct/>
        <w:autoSpaceDE/>
        <w:autoSpaceDN/>
        <w:bidi w:val="0"/>
        <w:snapToGrid/>
        <w:spacing w:line="360" w:lineRule="auto"/>
        <w:ind w:firstLine="425"/>
        <w:rPr>
          <w:rFonts w:hint="eastAsia" w:ascii="宋体" w:hAnsi="宋体" w:eastAsia="宋体" w:cs="宋体"/>
          <w:sz w:val="24"/>
          <w:szCs w:val="24"/>
          <w:highlight w:val="none"/>
        </w:rPr>
      </w:pP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lang w:eastAsia="zh-CN"/>
        </w:rPr>
        <w:t>陆</w:t>
      </w:r>
      <w:r>
        <w:rPr>
          <w:rFonts w:hint="eastAsia" w:ascii="宋体" w:hAnsi="宋体" w:eastAsia="宋体" w:cs="宋体"/>
          <w:sz w:val="24"/>
          <w:szCs w:val="24"/>
          <w:highlight w:val="none"/>
        </w:rPr>
        <w:t>份，“甲方执</w:t>
      </w:r>
      <w:r>
        <w:rPr>
          <w:rFonts w:hint="eastAsia" w:ascii="宋体" w:hAnsi="宋体" w:eastAsia="宋体" w:cs="宋体"/>
          <w:sz w:val="24"/>
          <w:szCs w:val="24"/>
          <w:highlight w:val="none"/>
          <w:lang w:eastAsia="zh-CN"/>
        </w:rPr>
        <w:t>肆</w:t>
      </w:r>
      <w:r>
        <w:rPr>
          <w:rFonts w:hint="eastAsia" w:ascii="宋体" w:hAnsi="宋体" w:eastAsia="宋体" w:cs="宋体"/>
          <w:sz w:val="24"/>
          <w:szCs w:val="24"/>
          <w:highlight w:val="none"/>
        </w:rPr>
        <w:t>份”，“乙方”执</w:t>
      </w:r>
      <w:r>
        <w:rPr>
          <w:rFonts w:hint="eastAsia" w:ascii="宋体" w:hAnsi="宋体" w:eastAsia="宋体" w:cs="宋体"/>
          <w:sz w:val="24"/>
          <w:szCs w:val="24"/>
          <w:highlight w:val="none"/>
          <w:lang w:eastAsia="zh-CN"/>
        </w:rPr>
        <w:t>贰</w:t>
      </w:r>
      <w:r>
        <w:rPr>
          <w:rFonts w:hint="eastAsia" w:ascii="宋体" w:hAnsi="宋体" w:eastAsia="宋体" w:cs="宋体"/>
          <w:sz w:val="24"/>
          <w:szCs w:val="24"/>
          <w:highlight w:val="none"/>
        </w:rPr>
        <w:t>份，具有相同的法律效力。自“双方”代表签字加盖合同章（或公章）之日起生效。</w:t>
      </w:r>
    </w:p>
    <w:p w14:paraId="3A7E8DA6">
      <w:pPr>
        <w:keepNext w:val="0"/>
        <w:keepLines w:val="0"/>
        <w:pageBreakBefore w:val="0"/>
        <w:widowControl w:val="0"/>
        <w:kinsoku/>
        <w:wordWrap/>
        <w:overflowPunct/>
        <w:topLinePunct/>
        <w:autoSpaceDE/>
        <w:autoSpaceDN/>
        <w:bidi w:val="0"/>
        <w:snapToGrid/>
        <w:spacing w:line="360" w:lineRule="auto"/>
        <w:ind w:firstLine="480" w:firstLineChars="200"/>
        <w:rPr>
          <w:rFonts w:hint="eastAsia" w:ascii="宋体" w:hAnsi="宋体" w:eastAsia="宋体" w:cs="宋体"/>
          <w:color w:val="FF0000"/>
          <w:kern w:val="0"/>
          <w:sz w:val="24"/>
          <w:szCs w:val="24"/>
          <w:highlight w:val="none"/>
        </w:rPr>
      </w:pPr>
      <w:r>
        <w:rPr>
          <w:rFonts w:hint="eastAsia" w:ascii="宋体" w:hAnsi="宋体" w:eastAsia="宋体" w:cs="宋体"/>
          <w:color w:val="FF0000"/>
          <w:kern w:val="0"/>
          <w:sz w:val="24"/>
          <w:szCs w:val="24"/>
          <w:highlight w:val="none"/>
        </w:rPr>
        <w:t>（以下无正文）</w:t>
      </w:r>
    </w:p>
    <w:p w14:paraId="535A9216">
      <w:pPr>
        <w:spacing w:line="360" w:lineRule="auto"/>
        <w:rPr>
          <w:rFonts w:ascii="宋体" w:cs="宋体"/>
          <w:color w:val="000000"/>
          <w:sz w:val="24"/>
          <w:highlight w:val="none"/>
        </w:rPr>
      </w:pPr>
      <w:r>
        <w:rPr>
          <w:rFonts w:hint="eastAsia" w:ascii="宋体" w:cs="宋体"/>
          <w:b/>
          <w:color w:val="000000"/>
          <w:sz w:val="24"/>
          <w:highlight w:val="none"/>
        </w:rPr>
        <w:t>甲方：</w:t>
      </w:r>
      <w:r>
        <w:rPr>
          <w:rFonts w:hint="eastAsia" w:ascii="宋体" w:cs="宋体"/>
          <w:color w:val="000000"/>
          <w:sz w:val="24"/>
          <w:highlight w:val="none"/>
        </w:rPr>
        <w:t xml:space="preserve">西安市第一医院（盖章）   </w:t>
      </w:r>
      <w:r>
        <w:rPr>
          <w:rFonts w:hint="eastAsia" w:ascii="宋体" w:cs="宋体"/>
          <w:b/>
          <w:color w:val="000000"/>
          <w:sz w:val="24"/>
          <w:highlight w:val="none"/>
        </w:rPr>
        <w:t xml:space="preserve">             乙方：           </w:t>
      </w:r>
      <w:r>
        <w:rPr>
          <w:rFonts w:hint="eastAsia" w:ascii="宋体" w:cs="宋体"/>
          <w:color w:val="000000"/>
          <w:sz w:val="24"/>
          <w:highlight w:val="none"/>
        </w:rPr>
        <w:t xml:space="preserve"> （盖章）</w:t>
      </w:r>
    </w:p>
    <w:p w14:paraId="2A587370">
      <w:pPr>
        <w:widowControl/>
        <w:spacing w:line="360" w:lineRule="auto"/>
        <w:rPr>
          <w:rFonts w:ascii="宋体" w:cs="宋体"/>
          <w:b/>
          <w:color w:val="000000"/>
          <w:sz w:val="24"/>
          <w:highlight w:val="none"/>
        </w:rPr>
      </w:pPr>
      <w:r>
        <w:rPr>
          <w:rFonts w:hint="eastAsia" w:ascii="宋体" w:cs="宋体"/>
          <w:b/>
          <w:color w:val="000000"/>
          <w:sz w:val="24"/>
          <w:highlight w:val="none"/>
        </w:rPr>
        <w:t>开户行：</w:t>
      </w:r>
      <w:r>
        <w:rPr>
          <w:rFonts w:hint="eastAsia" w:ascii="宋体" w:cs="宋体"/>
          <w:color w:val="000000"/>
          <w:sz w:val="24"/>
          <w:highlight w:val="none"/>
        </w:rPr>
        <w:t>工商</w:t>
      </w:r>
      <w:r>
        <w:rPr>
          <w:rFonts w:hint="eastAsia" w:ascii="宋体" w:cs="宋体"/>
          <w:color w:val="000000"/>
          <w:sz w:val="24"/>
          <w:highlight w:val="none"/>
          <w:lang w:val="en-US" w:eastAsia="zh-CN"/>
        </w:rPr>
        <w:t>银行南大街支行</w:t>
      </w:r>
      <w:r>
        <w:rPr>
          <w:rFonts w:ascii="宋体" w:cs="宋体"/>
          <w:color w:val="000000"/>
          <w:sz w:val="24"/>
          <w:highlight w:val="none"/>
        </w:rPr>
        <w:t xml:space="preserve"> </w:t>
      </w:r>
      <w:r>
        <w:rPr>
          <w:rFonts w:hint="eastAsia" w:ascii="宋体" w:cs="宋体"/>
          <w:color w:val="000000"/>
          <w:sz w:val="24"/>
          <w:highlight w:val="none"/>
        </w:rPr>
        <w:t xml:space="preserve">        </w:t>
      </w:r>
      <w:r>
        <w:rPr>
          <w:rFonts w:hint="eastAsia" w:ascii="宋体" w:cs="宋体"/>
          <w:b/>
          <w:color w:val="000000"/>
          <w:sz w:val="24"/>
          <w:highlight w:val="none"/>
        </w:rPr>
        <w:t xml:space="preserve">         开户行：</w:t>
      </w:r>
    </w:p>
    <w:p w14:paraId="45378AEA">
      <w:pPr>
        <w:widowControl/>
        <w:spacing w:line="360" w:lineRule="auto"/>
        <w:rPr>
          <w:rFonts w:ascii="宋体" w:cs="宋体"/>
          <w:b/>
          <w:color w:val="000000"/>
          <w:sz w:val="24"/>
          <w:highlight w:val="none"/>
        </w:rPr>
      </w:pPr>
      <w:r>
        <w:rPr>
          <w:rFonts w:hint="eastAsia" w:ascii="宋体" w:cs="宋体"/>
          <w:b/>
          <w:color w:val="000000"/>
          <w:sz w:val="24"/>
          <w:highlight w:val="none"/>
        </w:rPr>
        <w:t>账号：</w:t>
      </w:r>
      <w:r>
        <w:rPr>
          <w:rFonts w:hint="eastAsia" w:ascii="宋体" w:cs="宋体"/>
          <w:color w:val="000000"/>
          <w:sz w:val="24"/>
          <w:highlight w:val="none"/>
        </w:rPr>
        <w:t xml:space="preserve">3700020409089344018   </w:t>
      </w:r>
      <w:r>
        <w:rPr>
          <w:rFonts w:hint="eastAsia" w:ascii="宋体" w:cs="宋体"/>
          <w:b/>
          <w:color w:val="000000"/>
          <w:sz w:val="24"/>
          <w:highlight w:val="none"/>
        </w:rPr>
        <w:t xml:space="preserve">                账户：</w:t>
      </w:r>
    </w:p>
    <w:p w14:paraId="0E35BEB9">
      <w:pPr>
        <w:widowControl/>
        <w:spacing w:line="360" w:lineRule="auto"/>
        <w:ind w:left="5693" w:hanging="5693" w:hangingChars="2363"/>
        <w:rPr>
          <w:rFonts w:ascii="宋体" w:cs="宋体"/>
          <w:b/>
          <w:color w:val="000000"/>
          <w:sz w:val="24"/>
          <w:highlight w:val="none"/>
        </w:rPr>
      </w:pPr>
      <w:r>
        <w:rPr>
          <w:rFonts w:hint="eastAsia" w:ascii="宋体" w:cs="宋体"/>
          <w:b/>
          <w:color w:val="000000"/>
          <w:sz w:val="24"/>
          <w:highlight w:val="none"/>
        </w:rPr>
        <w:t>地址：</w:t>
      </w:r>
      <w:r>
        <w:rPr>
          <w:rFonts w:hint="eastAsia" w:ascii="宋体" w:cs="宋体"/>
          <w:color w:val="000000"/>
          <w:sz w:val="24"/>
          <w:highlight w:val="none"/>
        </w:rPr>
        <w:t xml:space="preserve">西安市南大街粉巷30号     </w:t>
      </w:r>
      <w:r>
        <w:rPr>
          <w:rFonts w:hint="eastAsia" w:ascii="宋体" w:cs="宋体"/>
          <w:b/>
          <w:color w:val="000000"/>
          <w:sz w:val="24"/>
          <w:highlight w:val="none"/>
        </w:rPr>
        <w:t xml:space="preserve">            地址：</w:t>
      </w:r>
    </w:p>
    <w:p w14:paraId="1F146202">
      <w:pPr>
        <w:widowControl/>
        <w:spacing w:line="360" w:lineRule="auto"/>
        <w:rPr>
          <w:rFonts w:ascii="宋体" w:cs="宋体"/>
          <w:b/>
          <w:color w:val="000000"/>
          <w:sz w:val="24"/>
          <w:highlight w:val="none"/>
        </w:rPr>
      </w:pPr>
      <w:r>
        <w:rPr>
          <w:rFonts w:hint="eastAsia" w:ascii="宋体" w:cs="宋体"/>
          <w:b/>
          <w:color w:val="000000"/>
          <w:sz w:val="24"/>
          <w:highlight w:val="none"/>
        </w:rPr>
        <w:t>邮政编码：</w:t>
      </w:r>
      <w:r>
        <w:rPr>
          <w:rFonts w:hint="eastAsia" w:ascii="宋体" w:cs="宋体"/>
          <w:color w:val="000000"/>
          <w:sz w:val="24"/>
          <w:highlight w:val="none"/>
        </w:rPr>
        <w:t xml:space="preserve">710002     </w:t>
      </w:r>
      <w:r>
        <w:rPr>
          <w:rFonts w:hint="eastAsia" w:ascii="宋体" w:cs="宋体"/>
          <w:b/>
          <w:color w:val="000000"/>
          <w:sz w:val="24"/>
          <w:highlight w:val="none"/>
        </w:rPr>
        <w:t xml:space="preserve">                       邮政编码： </w:t>
      </w:r>
    </w:p>
    <w:p w14:paraId="5C3C67E9">
      <w:pPr>
        <w:widowControl/>
        <w:spacing w:line="360" w:lineRule="auto"/>
        <w:rPr>
          <w:rFonts w:ascii="宋体" w:cs="宋体"/>
          <w:b/>
          <w:color w:val="000000"/>
          <w:sz w:val="24"/>
          <w:highlight w:val="none"/>
        </w:rPr>
      </w:pPr>
      <w:r>
        <w:rPr>
          <w:rFonts w:hint="eastAsia" w:ascii="宋体" w:cs="宋体"/>
          <w:b/>
          <w:color w:val="000000"/>
          <w:sz w:val="24"/>
          <w:highlight w:val="none"/>
        </w:rPr>
        <w:t>电话：</w:t>
      </w:r>
      <w:r>
        <w:rPr>
          <w:rFonts w:hint="eastAsia" w:ascii="宋体" w:cs="宋体"/>
          <w:color w:val="000000"/>
          <w:sz w:val="24"/>
          <w:highlight w:val="none"/>
        </w:rPr>
        <w:t>029-87630</w:t>
      </w:r>
      <w:r>
        <w:rPr>
          <w:rFonts w:hint="eastAsia" w:ascii="宋体" w:cs="宋体"/>
          <w:color w:val="000000"/>
          <w:sz w:val="24"/>
          <w:highlight w:val="none"/>
          <w:lang w:val="en-US" w:eastAsia="zh-CN"/>
        </w:rPr>
        <w:t>746</w:t>
      </w:r>
      <w:r>
        <w:rPr>
          <w:rFonts w:hint="eastAsia" w:ascii="宋体" w:cs="宋体"/>
          <w:color w:val="000000"/>
          <w:sz w:val="24"/>
          <w:highlight w:val="none"/>
        </w:rPr>
        <w:t xml:space="preserve">           </w:t>
      </w:r>
      <w:r>
        <w:rPr>
          <w:rFonts w:hint="eastAsia" w:ascii="宋体" w:cs="宋体"/>
          <w:b/>
          <w:color w:val="000000"/>
          <w:sz w:val="24"/>
          <w:highlight w:val="none"/>
        </w:rPr>
        <w:t xml:space="preserve">               电话：</w:t>
      </w:r>
    </w:p>
    <w:p w14:paraId="1F0E96FF">
      <w:pPr>
        <w:pStyle w:val="2"/>
        <w:rPr>
          <w:highlight w:val="none"/>
        </w:rPr>
      </w:pPr>
    </w:p>
    <w:p w14:paraId="0D720921">
      <w:pPr>
        <w:widowControl/>
        <w:spacing w:line="360" w:lineRule="auto"/>
        <w:rPr>
          <w:rFonts w:ascii="宋体" w:cs="宋体"/>
          <w:b/>
          <w:color w:val="000000"/>
          <w:sz w:val="24"/>
          <w:highlight w:val="none"/>
        </w:rPr>
      </w:pPr>
      <w:r>
        <w:rPr>
          <w:rFonts w:hint="eastAsia" w:ascii="宋体" w:cs="宋体"/>
          <w:b/>
          <w:color w:val="000000"/>
          <w:sz w:val="24"/>
          <w:highlight w:val="none"/>
        </w:rPr>
        <w:t>法定代表人（授权代表）：                     法定代表人（授权代表）：</w:t>
      </w:r>
    </w:p>
    <w:p w14:paraId="249F11FE">
      <w:pPr>
        <w:spacing w:line="360" w:lineRule="auto"/>
        <w:rPr>
          <w:rFonts w:ascii="宋体" w:cs="宋体"/>
          <w:b/>
          <w:color w:val="000000"/>
          <w:sz w:val="24"/>
          <w:highlight w:val="none"/>
        </w:rPr>
      </w:pPr>
    </w:p>
    <w:p w14:paraId="52845FFD">
      <w:pPr>
        <w:tabs>
          <w:tab w:val="left" w:pos="480"/>
        </w:tabs>
        <w:rPr>
          <w:rFonts w:ascii="宋体" w:cs="宋体"/>
          <w:color w:val="000000"/>
          <w:sz w:val="24"/>
          <w:highlight w:val="none"/>
        </w:rPr>
      </w:pPr>
      <w:r>
        <w:rPr>
          <w:rFonts w:hint="eastAsia" w:ascii="宋体" w:cs="宋体"/>
          <w:b/>
          <w:color w:val="000000"/>
          <w:sz w:val="24"/>
          <w:highlight w:val="none"/>
        </w:rPr>
        <w:t>签约日期：</w:t>
      </w:r>
      <w:r>
        <w:rPr>
          <w:rFonts w:hint="eastAsia" w:ascii="宋体" w:cs="宋体"/>
          <w:color w:val="000000"/>
          <w:sz w:val="24"/>
          <w:highlight w:val="none"/>
        </w:rPr>
        <w:t xml:space="preserve">年  月   日    </w:t>
      </w:r>
      <w:r>
        <w:rPr>
          <w:rFonts w:hint="eastAsia" w:ascii="宋体" w:cs="宋体"/>
          <w:b/>
          <w:color w:val="000000"/>
          <w:sz w:val="24"/>
          <w:highlight w:val="none"/>
        </w:rPr>
        <w:t xml:space="preserve">                   签约日期：</w:t>
      </w:r>
      <w:r>
        <w:rPr>
          <w:rFonts w:hint="eastAsia" w:ascii="宋体" w:cs="宋体"/>
          <w:color w:val="000000"/>
          <w:sz w:val="24"/>
          <w:highlight w:val="none"/>
        </w:rPr>
        <w:t>年  月  日</w:t>
      </w:r>
    </w:p>
    <w:p w14:paraId="16DD4ED2">
      <w:pPr>
        <w:widowControl/>
        <w:rPr>
          <w:b/>
          <w:color w:val="000000" w:themeColor="text1"/>
          <w:sz w:val="32"/>
          <w:szCs w:val="32"/>
          <w:highlight w:val="none"/>
          <w14:textFill>
            <w14:solidFill>
              <w14:schemeClr w14:val="tx1"/>
            </w14:solidFill>
          </w14:textFill>
        </w:rPr>
      </w:pPr>
    </w:p>
    <w:p w14:paraId="0C89501C">
      <w:pPr>
        <w:pStyle w:val="2"/>
        <w:rPr>
          <w:b/>
          <w:color w:val="000000" w:themeColor="text1"/>
          <w:sz w:val="32"/>
          <w:szCs w:val="32"/>
          <w:highlight w:val="none"/>
          <w14:textFill>
            <w14:solidFill>
              <w14:schemeClr w14:val="tx1"/>
            </w14:solidFill>
          </w14:textFill>
        </w:rPr>
      </w:pPr>
    </w:p>
    <w:p w14:paraId="40280A70">
      <w:pPr>
        <w:rPr>
          <w:b/>
          <w:color w:val="000000" w:themeColor="text1"/>
          <w:sz w:val="32"/>
          <w:szCs w:val="32"/>
          <w:highlight w:val="none"/>
          <w14:textFill>
            <w14:solidFill>
              <w14:schemeClr w14:val="tx1"/>
            </w14:solidFill>
          </w14:textFill>
        </w:rPr>
      </w:pPr>
    </w:p>
    <w:p w14:paraId="5C9FFA37">
      <w:pPr>
        <w:pStyle w:val="2"/>
        <w:rPr>
          <w:b/>
          <w:color w:val="000000" w:themeColor="text1"/>
          <w:sz w:val="32"/>
          <w:szCs w:val="32"/>
          <w:highlight w:val="none"/>
          <w14:textFill>
            <w14:solidFill>
              <w14:schemeClr w14:val="tx1"/>
            </w14:solidFill>
          </w14:textFill>
        </w:rPr>
      </w:pPr>
    </w:p>
    <w:p w14:paraId="26CE01EE">
      <w:pPr>
        <w:rPr>
          <w:b/>
          <w:color w:val="000000" w:themeColor="text1"/>
          <w:sz w:val="32"/>
          <w:szCs w:val="32"/>
          <w:highlight w:val="none"/>
          <w14:textFill>
            <w14:solidFill>
              <w14:schemeClr w14:val="tx1"/>
            </w14:solidFill>
          </w14:textFill>
        </w:rPr>
      </w:pPr>
    </w:p>
    <w:p w14:paraId="0737A918">
      <w:pPr>
        <w:pStyle w:val="2"/>
        <w:rPr>
          <w:b/>
          <w:color w:val="000000" w:themeColor="text1"/>
          <w:sz w:val="32"/>
          <w:szCs w:val="32"/>
          <w:highlight w:val="none"/>
          <w14:textFill>
            <w14:solidFill>
              <w14:schemeClr w14:val="tx1"/>
            </w14:solidFill>
          </w14:textFill>
        </w:rPr>
      </w:pPr>
    </w:p>
    <w:p w14:paraId="5357ABC0">
      <w:pPr>
        <w:rPr>
          <w:b/>
          <w:color w:val="000000" w:themeColor="text1"/>
          <w:sz w:val="32"/>
          <w:szCs w:val="32"/>
          <w:highlight w:val="none"/>
          <w14:textFill>
            <w14:solidFill>
              <w14:schemeClr w14:val="tx1"/>
            </w14:solidFill>
          </w14:textFill>
        </w:rPr>
      </w:pPr>
    </w:p>
    <w:p w14:paraId="0EAE3B53">
      <w:pPr>
        <w:rPr>
          <w:rFonts w:hint="eastAsia"/>
          <w:color w:val="FF0000"/>
          <w:sz w:val="30"/>
          <w:szCs w:val="30"/>
          <w:highlight w:val="none"/>
        </w:rPr>
      </w:pPr>
    </w:p>
    <w:p w14:paraId="7F9CCEBB">
      <w:pPr>
        <w:rPr>
          <w:rFonts w:hint="eastAsia"/>
          <w:color w:val="FF0000"/>
          <w:sz w:val="30"/>
          <w:szCs w:val="30"/>
          <w:highlight w:val="none"/>
        </w:rPr>
      </w:pPr>
    </w:p>
    <w:p w14:paraId="600D1576">
      <w:pPr>
        <w:rPr>
          <w:rFonts w:hint="eastAsia"/>
          <w:color w:val="FF0000"/>
          <w:sz w:val="30"/>
          <w:szCs w:val="30"/>
          <w:highlight w:val="none"/>
        </w:rPr>
      </w:pPr>
    </w:p>
    <w:p w14:paraId="0F4E530C">
      <w:pPr>
        <w:rPr>
          <w:rFonts w:hint="eastAsia"/>
          <w:color w:val="auto"/>
          <w:sz w:val="30"/>
          <w:szCs w:val="30"/>
          <w:highlight w:val="none"/>
        </w:rPr>
      </w:pPr>
      <w:r>
        <w:rPr>
          <w:rFonts w:hint="eastAsia"/>
          <w:color w:val="auto"/>
          <w:sz w:val="30"/>
          <w:szCs w:val="30"/>
          <w:highlight w:val="none"/>
        </w:rPr>
        <w:br w:type="page"/>
      </w:r>
    </w:p>
    <w:p w14:paraId="42DE8C2D">
      <w:pPr>
        <w:rPr>
          <w:color w:val="auto"/>
          <w:sz w:val="30"/>
          <w:szCs w:val="30"/>
          <w:highlight w:val="none"/>
        </w:rPr>
      </w:pPr>
      <w:bookmarkStart w:id="13" w:name="_GoBack"/>
      <w:bookmarkEnd w:id="13"/>
      <w:r>
        <w:rPr>
          <w:rFonts w:hint="eastAsia"/>
          <w:color w:val="auto"/>
          <w:sz w:val="30"/>
          <w:szCs w:val="30"/>
          <w:highlight w:val="none"/>
        </w:rPr>
        <w:t>附件</w:t>
      </w:r>
      <w:r>
        <w:rPr>
          <w:rFonts w:hint="eastAsia"/>
          <w:color w:val="auto"/>
          <w:sz w:val="30"/>
          <w:szCs w:val="30"/>
          <w:highlight w:val="none"/>
          <w:lang w:eastAsia="zh-CN"/>
        </w:rPr>
        <w:t>一</w:t>
      </w:r>
      <w:r>
        <w:rPr>
          <w:rFonts w:hint="eastAsia"/>
          <w:color w:val="auto"/>
          <w:sz w:val="30"/>
          <w:szCs w:val="30"/>
          <w:highlight w:val="none"/>
        </w:rPr>
        <w:t>：公司营业执照、委托书、受托人身份证复印件</w:t>
      </w:r>
    </w:p>
    <w:p w14:paraId="3AEF131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222339"/>
    <w:multiLevelType w:val="multilevel"/>
    <w:tmpl w:val="70222339"/>
    <w:lvl w:ilvl="0" w:tentative="0">
      <w:start w:val="1"/>
      <w:numFmt w:val="japaneseCounting"/>
      <w:pStyle w:val="3"/>
      <w:lvlText w:val="第%1条"/>
      <w:lvlJc w:val="left"/>
      <w:pPr>
        <w:ind w:left="0" w:firstLine="0"/>
      </w:pPr>
      <w:rPr>
        <w:rFonts w:hint="default"/>
        <w:sz w:val="21"/>
        <w:szCs w:val="21"/>
      </w:rPr>
    </w:lvl>
    <w:lvl w:ilvl="1" w:tentative="0">
      <w:start w:val="1"/>
      <w:numFmt w:val="decimalZero"/>
      <w:isLgl/>
      <w:lvlText w:val="节 %1.%2"/>
      <w:lvlJc w:val="left"/>
      <w:pPr>
        <w:ind w:left="0" w:firstLine="0"/>
      </w:pPr>
    </w:lvl>
    <w:lvl w:ilvl="2" w:tentative="0">
      <w:start w:val="1"/>
      <w:numFmt w:val="lowerLetter"/>
      <w:lvlText w:val="(%3)"/>
      <w:lvlJc w:val="left"/>
      <w:pPr>
        <w:ind w:left="720" w:hanging="432"/>
      </w:pPr>
    </w:lvl>
    <w:lvl w:ilvl="3" w:tentative="0">
      <w:start w:val="1"/>
      <w:numFmt w:val="lowerRoman"/>
      <w:lvlText w:val="(%4)"/>
      <w:lvlJc w:val="right"/>
      <w:pPr>
        <w:ind w:left="864" w:hanging="144"/>
      </w:pPr>
    </w:lvl>
    <w:lvl w:ilvl="4" w:tentative="0">
      <w:start w:val="1"/>
      <w:numFmt w:val="decimal"/>
      <w:lvlText w:val="%5)"/>
      <w:lvlJc w:val="left"/>
      <w:pPr>
        <w:ind w:left="1008" w:hanging="432"/>
      </w:pPr>
    </w:lvl>
    <w:lvl w:ilvl="5" w:tentative="0">
      <w:start w:val="1"/>
      <w:numFmt w:val="lowerLetter"/>
      <w:lvlText w:val="%6)"/>
      <w:lvlJc w:val="left"/>
      <w:pPr>
        <w:ind w:left="1152" w:hanging="432"/>
      </w:pPr>
    </w:lvl>
    <w:lvl w:ilvl="6" w:tentative="0">
      <w:start w:val="1"/>
      <w:numFmt w:val="lowerRoman"/>
      <w:lvlText w:val="%7)"/>
      <w:lvlJc w:val="right"/>
      <w:pPr>
        <w:ind w:left="1296" w:hanging="288"/>
      </w:pPr>
    </w:lvl>
    <w:lvl w:ilvl="7" w:tentative="0">
      <w:start w:val="1"/>
      <w:numFmt w:val="lowerLetter"/>
      <w:lvlText w:val="%8."/>
      <w:lvlJc w:val="left"/>
      <w:pPr>
        <w:ind w:left="1440" w:hanging="432"/>
      </w:pPr>
    </w:lvl>
    <w:lvl w:ilvl="8" w:tentative="0">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8B4FCC"/>
    <w:rsid w:val="4E8B4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9"/>
    <w:pPr>
      <w:keepNext/>
      <w:keepLines/>
      <w:numPr>
        <w:ilvl w:val="0"/>
        <w:numId w:val="1"/>
      </w:numPr>
      <w:spacing w:before="20" w:after="20"/>
      <w:outlineLvl w:val="0"/>
    </w:pPr>
    <w:rPr>
      <w:b/>
      <w:bCs/>
      <w:kern w:val="44"/>
      <w:szCs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kern w:val="0"/>
      <w:sz w:val="20"/>
      <w:szCs w:val="20"/>
    </w:rPr>
  </w:style>
  <w:style w:type="paragraph" w:customStyle="1" w:styleId="6">
    <w:name w:val="标题--中节"/>
    <w:basedOn w:val="1"/>
    <w:next w:val="1"/>
    <w:qFormat/>
    <w:uiPriority w:val="0"/>
    <w:pPr>
      <w:adjustRightInd w:val="0"/>
      <w:spacing w:line="312" w:lineRule="atLeast"/>
      <w:ind w:left="170" w:hanging="170"/>
      <w:textAlignment w:val="baseline"/>
    </w:pPr>
    <w:rPr>
      <w:b/>
      <w:kern w:val="0"/>
      <w:sz w:val="24"/>
      <w:szCs w:val="20"/>
      <w:u w:val="doub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2025-12-05T10:36:00Z</dcterms:created>
  <dc:creator>侯@_@!</dc:creator>
  <cp:lastModifiedBy>侯@_@!</cp:lastModifiedBy>
  <dcterms:modified xsi:type="dcterms:W3CDTF">2025-12-05T10:37:27Z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EBD3BF2E63344E3B99E3EC096FF546F7_11</vt:lpwstr>
  </property>
  <property fmtid="{D5CDD505-2E9C-101B-9397-08002B2CF9AE}" pid="4" name="KSOTemplateDocerSaveRecord">
    <vt:lpwstr>eyJoZGlkIjoiZWE2M2VmODljZjg2ZDZlNWY1NzAyZjk2YzUyNWViZTMiLCJ1c2VySWQiOiIyNjA2MTU2NDgifQ==</vt:lpwstr>
  </property>
</Properties>
</file>