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版本号：SXDZ2025-ZC-DY03320251205001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西安市防返贫监测预警平台系统软件服务项目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SXDZ2025-ZC-DY033</w:t>
      </w:r>
      <w:r>
        <w:br/>
      </w:r>
      <w:r>
        <w:br/>
      </w:r>
      <w:r>
        <w:br/>
      </w:r>
    </w:p>
    <w:p>
      <w:pPr>
        <w:pStyle w:val="null3"/>
        <w:jc w:val="center"/>
        <w:outlineLvl w:val="5"/>
      </w:pPr>
      <w:r>
        <w:rPr>
          <w:rFonts w:ascii="仿宋_GB2312" w:hAnsi="仿宋_GB2312" w:cs="仿宋_GB2312" w:eastAsia="仿宋_GB2312"/>
          <w:sz w:val="15"/>
          <w:b/>
        </w:rPr>
        <w:t>西安市农业农村局（本级）</w:t>
      </w:r>
    </w:p>
    <w:p>
      <w:pPr>
        <w:pStyle w:val="null3"/>
        <w:jc w:val="center"/>
        <w:outlineLvl w:val="5"/>
      </w:pPr>
      <w:r>
        <w:rPr>
          <w:rFonts w:ascii="仿宋_GB2312" w:hAnsi="仿宋_GB2312" w:cs="仿宋_GB2312" w:eastAsia="仿宋_GB2312"/>
          <w:sz w:val="15"/>
          <w:b/>
        </w:rPr>
        <w:t>陕西东卓项目管理有限公司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西安市防返贫监测预警平台系统软件服务项目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SXDZ2025-ZC-DY033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西安市防返贫监测预警平台系统软件服务项目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防返贫监测预警平台（原：西安市精准扶贫大数据平台）自2017年使用以来一直服务于扶贫工作，是全面脱贫攻坚的重要保障平台，现平台服务期已到，拟聘请第三方机构对我局西安市防返贫监测预警平台2025-2026年软件服务项目进行日常维护，需结合乡村振兴现阶段工作目标，更好更快助力巩固拓展脱贫攻坚成果，提升信息化管理质量和服务效能，利用大数据做好防返贫预警监测，实现风险摸排网格化，监测预警信息化。能配备固定的技术人员，确保平台日常运行的连续性、稳定性、可靠性，并能为我局视频会议提供技术保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 ：提供2024年度经审计的财务报告（成立时间至响应文件递交截止时间不足一年的可提供成立后任意时段的资产负债表），或提供响应文件递交截止日前三个月内其基本存款账户开户银行出具的资信证明。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3、履行合同技术能力的承诺 ：提供具有履行合同所必需的设备和专业技术能力的承诺。</w:t>
      </w:r>
    </w:p>
    <w:p>
      <w:pPr>
        <w:pStyle w:val="null3"/>
      </w:pPr>
      <w:r>
        <w:rPr>
          <w:rFonts w:ascii="仿宋_GB2312" w:hAnsi="仿宋_GB2312" w:cs="仿宋_GB2312" w:eastAsia="仿宋_GB2312"/>
        </w:rPr>
        <w:t>4、税收缴纳证明 ：提供磋商截止日前一年内已缴纳的至少一个月的纳税证明或完税证明，依法免税的单位应提供相关证明材料。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 ：提供磋商截止日前一年内已缴存的至少一个月的社会保障资金缴存单据或社保机构开具的社会保险参保缴费情况证明，依法不需要缴纳社会保障资金的单位应提供相关证明材料。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 ：参加政府采购活动前3年内，在经营活动中没有重大违法记录的书面声明。</w:t>
      </w:r>
    </w:p>
    <w:p>
      <w:pPr>
        <w:pStyle w:val="null3"/>
      </w:pPr>
      <w:r>
        <w:rPr>
          <w:rFonts w:ascii="仿宋_GB2312" w:hAnsi="仿宋_GB2312" w:cs="仿宋_GB2312" w:eastAsia="仿宋_GB2312"/>
        </w:rPr>
        <w:t>7、法人身份证明或授权书 ：法定代表人参加的，须提供法定代表人身份证明及本人身份证复印件；法定代表人授权他人参加的，须提供法定代表人委托授权书、被授权代表的身份证复印件。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8、信用记录审查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9、本项目不接受联合体投标 ：本项目不接受联合体投标；（提供书面承诺，加盖供应商公章）。</w:t>
      </w:r>
    </w:p>
    <w:p>
      <w:pPr>
        <w:pStyle w:val="null3"/>
      </w:pPr>
      <w:r>
        <w:rPr>
          <w:rFonts w:ascii="仿宋_GB2312" w:hAnsi="仿宋_GB2312" w:cs="仿宋_GB2312" w:eastAsia="仿宋_GB2312"/>
        </w:rPr>
        <w:t>10、控股、管理关系 ：单位负责人为同一人或者存在直接控股、管理关系的不同供应商，不得同时参加本采购项目投标；（提供书面承诺，加盖供应商公章）。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西安市农业农村局（本级）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029-67095701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西安市莲湖区大兴东路御笔城市广场2号电梯408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采购包1：772,000.00元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采购包1：772,000.00元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说明：供应商收到中标通知后，支付合同履约保证金，金额为合同服务费总额的10%。</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接收代理服务费账户名称：陕西东卓项目管理有限公司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防返贫监测预警平台（原：西安市精准扶贫大数据平台）自2017年使用以来一直服务于扶贫工作，是全面脱贫攻坚的重要保障平台，现平台服务期已到，拟聘请第三方机构对我局西安市防返贫监测预警平台2025-2026年软件服务项目进行日常维护，需结合乡村振兴现阶段工作目标，更好更快助力巩固拓展脱贫攻坚成果，提升信息化管理质量和服务效能，利用大数据做好防返贫预警监测，实现风险摸排网格化，监测预警信息化。能配备固定的技术人员，确保平台日常运行的连续性、稳定性、可靠性，并能为我局视频会议提供技术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772,000.00</w:t>
      </w:r>
    </w:p>
    <w:p>
      <w:pPr>
        <w:pStyle w:val="null3"/>
      </w:pPr>
      <w:r>
        <w:rPr>
          <w:rFonts w:ascii="仿宋_GB2312" w:hAnsi="仿宋_GB2312" w:cs="仿宋_GB2312" w:eastAsia="仿宋_GB2312"/>
        </w:rPr>
        <w:t>采购包最高限价（元）: 772,000.00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西安市防返贫监测预警平台系统软件服务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标的名称：西安市防返贫监测预警平台系统软件服务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pPr>
            <w:r>
              <w:rPr>
                <w:rFonts w:ascii="仿宋_GB2312" w:hAnsi="仿宋_GB2312" w:cs="仿宋_GB2312" w:eastAsia="仿宋_GB2312"/>
                <w:sz w:val="28"/>
                <w:b/>
                <w:color w:val="000000"/>
              </w:rPr>
              <w:t>一、项目</w:t>
            </w:r>
            <w:r>
              <w:rPr>
                <w:rFonts w:ascii="仿宋_GB2312" w:hAnsi="仿宋_GB2312" w:cs="仿宋_GB2312" w:eastAsia="仿宋_GB2312"/>
                <w:sz w:val="28"/>
                <w:b/>
                <w:color w:val="000000"/>
              </w:rPr>
              <w:t>概况</w:t>
            </w:r>
          </w:p>
          <w:p>
            <w:pPr>
              <w:pStyle w:val="null3"/>
              <w:spacing w:after="495"/>
              <w:ind w:firstLine="560"/>
              <w:jc w:val="both"/>
            </w:pPr>
            <w:r>
              <w:rPr>
                <w:rFonts w:ascii="仿宋_GB2312" w:hAnsi="仿宋_GB2312" w:cs="仿宋_GB2312" w:eastAsia="仿宋_GB2312"/>
                <w:sz w:val="28"/>
              </w:rPr>
              <w:t>西安市防返贫监测预警平台（原：</w:t>
            </w:r>
            <w:r>
              <w:rPr>
                <w:rFonts w:ascii="仿宋_GB2312" w:hAnsi="仿宋_GB2312" w:cs="仿宋_GB2312" w:eastAsia="仿宋_GB2312"/>
                <w:sz w:val="28"/>
              </w:rPr>
              <w:t>西安市精准扶贫大数据平台</w:t>
            </w:r>
            <w:r>
              <w:rPr>
                <w:rFonts w:ascii="仿宋_GB2312" w:hAnsi="仿宋_GB2312" w:cs="仿宋_GB2312" w:eastAsia="仿宋_GB2312"/>
                <w:sz w:val="28"/>
              </w:rPr>
              <w:t>）</w:t>
            </w:r>
            <w:r>
              <w:rPr>
                <w:rFonts w:ascii="仿宋_GB2312" w:hAnsi="仿宋_GB2312" w:cs="仿宋_GB2312" w:eastAsia="仿宋_GB2312"/>
                <w:sz w:val="28"/>
              </w:rPr>
              <w:t>自</w:t>
            </w:r>
            <w:r>
              <w:rPr>
                <w:rFonts w:ascii="仿宋_GB2312" w:hAnsi="仿宋_GB2312" w:cs="仿宋_GB2312" w:eastAsia="仿宋_GB2312"/>
                <w:sz w:val="28"/>
              </w:rPr>
              <w:t>2017年使用以来一直服务于扶贫工作，是全面脱贫攻坚的重要保障平台，现平台服务期已到</w:t>
            </w:r>
            <w:r>
              <w:rPr>
                <w:rFonts w:ascii="仿宋_GB2312" w:hAnsi="仿宋_GB2312" w:cs="仿宋_GB2312" w:eastAsia="仿宋_GB2312"/>
                <w:sz w:val="28"/>
              </w:rPr>
              <w:t>，</w:t>
            </w:r>
            <w:r>
              <w:rPr>
                <w:rFonts w:ascii="仿宋_GB2312" w:hAnsi="仿宋_GB2312" w:cs="仿宋_GB2312" w:eastAsia="仿宋_GB2312"/>
                <w:sz w:val="28"/>
              </w:rPr>
              <w:t>拟聘请第三方机构对我局</w:t>
            </w:r>
            <w:r>
              <w:rPr>
                <w:rFonts w:ascii="仿宋_GB2312" w:hAnsi="仿宋_GB2312" w:cs="仿宋_GB2312" w:eastAsia="仿宋_GB2312"/>
                <w:sz w:val="28"/>
              </w:rPr>
              <w:t>西安市防返贫监测预警平台</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-202</w:t>
            </w:r>
            <w:r>
              <w:rPr>
                <w:rFonts w:ascii="仿宋_GB2312" w:hAnsi="仿宋_GB2312" w:cs="仿宋_GB2312" w:eastAsia="仿宋_GB2312"/>
                <w:sz w:val="28"/>
              </w:rPr>
              <w:t>6</w:t>
            </w:r>
            <w:r>
              <w:rPr>
                <w:rFonts w:ascii="仿宋_GB2312" w:hAnsi="仿宋_GB2312" w:cs="仿宋_GB2312" w:eastAsia="仿宋_GB2312"/>
                <w:sz w:val="28"/>
              </w:rPr>
              <w:t>年软件服务项目进行</w:t>
            </w:r>
            <w:r>
              <w:rPr>
                <w:rFonts w:ascii="仿宋_GB2312" w:hAnsi="仿宋_GB2312" w:cs="仿宋_GB2312" w:eastAsia="仿宋_GB2312"/>
                <w:sz w:val="28"/>
              </w:rPr>
              <w:t>日常维护</w:t>
            </w:r>
            <w:r>
              <w:rPr>
                <w:rFonts w:ascii="仿宋_GB2312" w:hAnsi="仿宋_GB2312" w:cs="仿宋_GB2312" w:eastAsia="仿宋_GB2312"/>
                <w:sz w:val="28"/>
              </w:rPr>
              <w:t>，</w:t>
            </w:r>
            <w:r>
              <w:rPr>
                <w:rFonts w:ascii="仿宋_GB2312" w:hAnsi="仿宋_GB2312" w:cs="仿宋_GB2312" w:eastAsia="仿宋_GB2312"/>
                <w:sz w:val="28"/>
              </w:rPr>
              <w:t>需结合乡村振兴现阶段工作目标，更好更快助力巩固拓展脱贫攻坚成果，提升信息化管理质量和服务效能，利用大数据做好防返贫预警监测，实现风险摸排网格化，监测预警信息化。</w:t>
            </w:r>
            <w:r>
              <w:rPr>
                <w:rFonts w:ascii="仿宋_GB2312" w:hAnsi="仿宋_GB2312" w:cs="仿宋_GB2312" w:eastAsia="仿宋_GB2312"/>
                <w:sz w:val="28"/>
              </w:rPr>
              <w:t>能配备固定的技术人员，确保平台日常运行的连续性、稳定性、可靠性，并能为我局视频会议提供技术保障。</w:t>
            </w:r>
          </w:p>
          <w:p>
            <w:pPr>
              <w:pStyle w:val="null3"/>
              <w:spacing w:before="315"/>
              <w:ind w:left="420"/>
            </w:pPr>
            <w:r>
              <w:rPr>
                <w:rFonts w:ascii="仿宋_GB2312" w:hAnsi="仿宋_GB2312" w:cs="仿宋_GB2312" w:eastAsia="仿宋_GB2312"/>
                <w:sz w:val="28"/>
                <w:b/>
                <w:color w:val="000000"/>
              </w:rPr>
              <w:t>二、服务内容</w:t>
            </w:r>
          </w:p>
          <w:p>
            <w:pPr>
              <w:pStyle w:val="null3"/>
              <w:ind w:firstLine="560"/>
            </w:pPr>
            <w:r>
              <w:rPr>
                <w:rFonts w:ascii="仿宋_GB2312" w:hAnsi="仿宋_GB2312" w:cs="仿宋_GB2312" w:eastAsia="仿宋_GB2312"/>
                <w:sz w:val="28"/>
                <w:color w:val="000000"/>
              </w:rPr>
              <w:t>1、西安市防返贫监测预警平台202</w:t>
            </w:r>
            <w:r>
              <w:rPr>
                <w:rFonts w:ascii="仿宋_GB2312" w:hAnsi="仿宋_GB2312" w:cs="仿宋_GB2312" w:eastAsia="仿宋_GB2312"/>
                <w:sz w:val="28"/>
                <w:color w:val="000000"/>
              </w:rPr>
              <w:t>5</w:t>
            </w:r>
            <w:r>
              <w:rPr>
                <w:rFonts w:ascii="仿宋_GB2312" w:hAnsi="仿宋_GB2312" w:cs="仿宋_GB2312" w:eastAsia="仿宋_GB2312"/>
                <w:sz w:val="28"/>
                <w:color w:val="000000"/>
              </w:rPr>
              <w:t>-202</w:t>
            </w:r>
            <w:r>
              <w:rPr>
                <w:rFonts w:ascii="仿宋_GB2312" w:hAnsi="仿宋_GB2312" w:cs="仿宋_GB2312" w:eastAsia="仿宋_GB2312"/>
                <w:sz w:val="28"/>
                <w:color w:val="000000"/>
              </w:rPr>
              <w:t>6</w:t>
            </w:r>
            <w:r>
              <w:rPr>
                <w:rFonts w:ascii="仿宋_GB2312" w:hAnsi="仿宋_GB2312" w:cs="仿宋_GB2312" w:eastAsia="仿宋_GB2312"/>
                <w:sz w:val="28"/>
                <w:color w:val="000000"/>
              </w:rPr>
              <w:t>年度基础服务费；</w:t>
            </w:r>
          </w:p>
          <w:p>
            <w:pPr>
              <w:pStyle w:val="null3"/>
              <w:ind w:firstLine="560"/>
            </w:pPr>
            <w:r>
              <w:rPr>
                <w:rFonts w:ascii="仿宋_GB2312" w:hAnsi="仿宋_GB2312" w:cs="仿宋_GB2312" w:eastAsia="仿宋_GB2312"/>
                <w:sz w:val="28"/>
                <w:color w:val="000000"/>
              </w:rPr>
              <w:t>2、西安市防返贫监测预警视频会议系统维护保障；</w:t>
            </w:r>
          </w:p>
          <w:p>
            <w:pPr>
              <w:pStyle w:val="null3"/>
              <w:ind w:firstLine="560"/>
            </w:pPr>
            <w:r>
              <w:rPr>
                <w:rFonts w:ascii="仿宋_GB2312" w:hAnsi="仿宋_GB2312" w:cs="仿宋_GB2312" w:eastAsia="仿宋_GB2312"/>
                <w:sz w:val="28"/>
                <w:color w:val="000000"/>
              </w:rPr>
              <w:t>3、配备固定的技术人员确保平台日常运行的连续性、稳定性、可靠性，并能根据需求完成数据提取、视频会议保障等相关工作。</w:t>
            </w:r>
          </w:p>
          <w:p>
            <w:pPr>
              <w:pStyle w:val="null3"/>
            </w:pPr>
            <w:r>
              <w:rPr>
                <w:rFonts w:ascii="仿宋_GB2312" w:hAnsi="仿宋_GB2312" w:cs="仿宋_GB2312" w:eastAsia="仿宋_GB2312"/>
                <w:sz w:val="28"/>
                <w:b/>
                <w:color w:val="000000"/>
              </w:rPr>
              <w:t>三、技术要求</w:t>
            </w:r>
          </w:p>
          <w:p>
            <w:pPr>
              <w:pStyle w:val="null3"/>
              <w:ind w:firstLine="560"/>
            </w:pPr>
            <w:r>
              <w:rPr>
                <w:rFonts w:ascii="仿宋_GB2312" w:hAnsi="仿宋_GB2312" w:cs="仿宋_GB2312" w:eastAsia="仿宋_GB2312"/>
                <w:sz w:val="28"/>
                <w:color w:val="000000"/>
              </w:rPr>
              <w:t>政策法规类</w:t>
            </w:r>
          </w:p>
          <w:p>
            <w:pPr>
              <w:pStyle w:val="null3"/>
              <w:ind w:firstLine="560"/>
            </w:pPr>
            <w:r>
              <w:rPr>
                <w:rFonts w:ascii="仿宋_GB2312" w:hAnsi="仿宋_GB2312" w:cs="仿宋_GB2312" w:eastAsia="仿宋_GB2312"/>
                <w:sz w:val="28"/>
                <w:color w:val="000000"/>
              </w:rPr>
              <w:t>1、《中共中央、国务院关于实现巩固拓展脱贫攻坚成果同乡村振兴有效衔接的意见》</w:t>
            </w:r>
          </w:p>
          <w:p>
            <w:pPr>
              <w:pStyle w:val="null3"/>
              <w:ind w:firstLine="560"/>
            </w:pPr>
            <w:r>
              <w:rPr>
                <w:rFonts w:ascii="仿宋_GB2312" w:hAnsi="仿宋_GB2312" w:cs="仿宋_GB2312" w:eastAsia="仿宋_GB2312"/>
                <w:sz w:val="28"/>
                <w:color w:val="000000"/>
              </w:rPr>
              <w:t>2、《中央农村工作领导小组关于健全防止返贫动态监测和帮扶机制的指导意见》</w:t>
            </w:r>
          </w:p>
          <w:p>
            <w:pPr>
              <w:pStyle w:val="null3"/>
              <w:ind w:firstLine="560"/>
            </w:pPr>
            <w:r>
              <w:rPr>
                <w:rFonts w:ascii="仿宋_GB2312" w:hAnsi="仿宋_GB2312" w:cs="仿宋_GB2312" w:eastAsia="仿宋_GB2312"/>
                <w:sz w:val="28"/>
                <w:color w:val="000000"/>
              </w:rPr>
              <w:t>3、《中共陕西省委、陕西省人民政府关于实现巩固拓展脱贫攻坚成果同乡村振兴有效衔接的实施意见》</w:t>
            </w:r>
          </w:p>
          <w:p>
            <w:pPr>
              <w:pStyle w:val="null3"/>
              <w:ind w:firstLine="560"/>
            </w:pPr>
            <w:r>
              <w:rPr>
                <w:rFonts w:ascii="仿宋_GB2312" w:hAnsi="仿宋_GB2312" w:cs="仿宋_GB2312" w:eastAsia="仿宋_GB2312"/>
                <w:sz w:val="28"/>
                <w:color w:val="000000"/>
              </w:rPr>
              <w:t>软件规范类</w:t>
            </w:r>
          </w:p>
          <w:p>
            <w:pPr>
              <w:pStyle w:val="null3"/>
              <w:ind w:firstLine="560"/>
            </w:pPr>
            <w:r>
              <w:rPr>
                <w:rFonts w:ascii="仿宋_GB2312" w:hAnsi="仿宋_GB2312" w:cs="仿宋_GB2312" w:eastAsia="仿宋_GB2312"/>
                <w:sz w:val="28"/>
                <w:color w:val="000000"/>
              </w:rPr>
              <w:t>1、GB/T11457-2006，《信息技术软件工程术语》</w:t>
            </w:r>
          </w:p>
          <w:p>
            <w:pPr>
              <w:pStyle w:val="null3"/>
              <w:ind w:firstLine="560"/>
            </w:pPr>
            <w:r>
              <w:rPr>
                <w:rFonts w:ascii="仿宋_GB2312" w:hAnsi="仿宋_GB2312" w:cs="仿宋_GB2312" w:eastAsia="仿宋_GB2312"/>
                <w:sz w:val="28"/>
                <w:color w:val="000000"/>
              </w:rPr>
              <w:t>2、GB/T8567-2006，《计算机软件文档编制规范》</w:t>
            </w:r>
          </w:p>
          <w:p>
            <w:pPr>
              <w:pStyle w:val="null3"/>
              <w:ind w:firstLine="560"/>
            </w:pPr>
            <w:r>
              <w:rPr>
                <w:rFonts w:ascii="仿宋_GB2312" w:hAnsi="仿宋_GB2312" w:cs="仿宋_GB2312" w:eastAsia="仿宋_GB2312"/>
                <w:sz w:val="28"/>
                <w:color w:val="000000"/>
              </w:rPr>
              <w:t>3、GB/T20158-2006，《信息技术软件生存周期过程配置管理》</w:t>
            </w:r>
          </w:p>
          <w:p>
            <w:pPr>
              <w:pStyle w:val="null3"/>
              <w:ind w:firstLine="560"/>
            </w:pPr>
            <w:r>
              <w:rPr>
                <w:rFonts w:ascii="仿宋_GB2312" w:hAnsi="仿宋_GB2312" w:cs="仿宋_GB2312" w:eastAsia="仿宋_GB2312"/>
                <w:sz w:val="28"/>
                <w:color w:val="000000"/>
              </w:rPr>
              <w:t>4、GB/T20157-2006，《信息技术软件维护》</w:t>
            </w:r>
          </w:p>
          <w:p>
            <w:pPr>
              <w:pStyle w:val="null3"/>
              <w:ind w:firstLine="560"/>
            </w:pPr>
            <w:r>
              <w:rPr>
                <w:rFonts w:ascii="仿宋_GB2312" w:hAnsi="仿宋_GB2312" w:cs="仿宋_GB2312" w:eastAsia="仿宋_GB2312"/>
                <w:sz w:val="28"/>
                <w:color w:val="000000"/>
              </w:rPr>
              <w:t>5、GB/T20918-2007，《信息技术软件生存周期过程风险管理》</w:t>
            </w:r>
          </w:p>
          <w:p>
            <w:pPr>
              <w:pStyle w:val="null3"/>
            </w:pPr>
            <w:r>
              <w:rPr>
                <w:rFonts w:ascii="仿宋_GB2312" w:hAnsi="仿宋_GB2312" w:cs="仿宋_GB2312" w:eastAsia="仿宋_GB2312"/>
                <w:sz w:val="28"/>
                <w:b/>
                <w:color w:val="000000"/>
              </w:rPr>
              <w:t>四、服务要求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1）供应商负责提供功能服务方案；</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2）供应商负责向甲方提供完整的系统验收文档资料作为系统验收依据；</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3）供应商负责按时完成甲方交办的突击性数据抽取及汇总工作；负责定制统计报表，满足甲方的个性化统计需求；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4）供应商负责为甲方提供技术培训，培训费用由乙方承担；</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5）供应商负责在合同期内向甲方提供关于平台使用过程中的技术支持；</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6）供应商负责数据存储、传输全过程的安全性和稳定性；</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7）供应商负责向甲方提供与系统有关的各类技术资料。</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8）供应商负责配备固定技术人员，按甲方需求开展数据提取、会议保障等相关工作。</w:t>
            </w:r>
          </w:p>
          <w:p>
            <w:pPr>
              <w:pStyle w:val="null3"/>
              <w:spacing w:before="315"/>
              <w:ind w:left="420"/>
            </w:pPr>
            <w:r>
              <w:rPr>
                <w:rFonts w:ascii="仿宋_GB2312" w:hAnsi="仿宋_GB2312" w:cs="仿宋_GB2312" w:eastAsia="仿宋_GB2312"/>
                <w:sz w:val="28"/>
                <w:b/>
                <w:color w:val="000000"/>
              </w:rPr>
              <w:t>五、商务要求</w:t>
            </w:r>
          </w:p>
          <w:p>
            <w:pPr>
              <w:pStyle w:val="null3"/>
            </w:pPr>
            <w:r>
              <w:rPr>
                <w:rFonts w:ascii="仿宋_GB2312" w:hAnsi="仿宋_GB2312" w:cs="仿宋_GB2312" w:eastAsia="仿宋_GB2312"/>
                <w:sz w:val="28"/>
                <w:color w:val="000000"/>
              </w:rPr>
              <w:t>（一）服务期限</w:t>
            </w:r>
          </w:p>
          <w:p>
            <w:pPr>
              <w:pStyle w:val="null3"/>
              <w:ind w:firstLine="560"/>
            </w:pPr>
            <w:r>
              <w:rPr>
                <w:rFonts w:ascii="仿宋_GB2312" w:hAnsi="仿宋_GB2312" w:cs="仿宋_GB2312" w:eastAsia="仿宋_GB2312"/>
                <w:sz w:val="28"/>
                <w:color w:val="000000"/>
              </w:rPr>
              <w:t>自</w:t>
            </w:r>
            <w:r>
              <w:rPr>
                <w:rFonts w:ascii="仿宋_GB2312" w:hAnsi="仿宋_GB2312" w:cs="仿宋_GB2312" w:eastAsia="仿宋_GB2312"/>
                <w:sz w:val="28"/>
                <w:color w:val="000000"/>
              </w:rPr>
              <w:t>合同签订之日起</w:t>
            </w:r>
            <w:r>
              <w:rPr>
                <w:rFonts w:ascii="仿宋_GB2312" w:hAnsi="仿宋_GB2312" w:cs="仿宋_GB2312" w:eastAsia="仿宋_GB2312"/>
                <w:sz w:val="28"/>
                <w:color w:val="000000"/>
              </w:rPr>
              <w:t>至</w:t>
            </w:r>
            <w:r>
              <w:rPr>
                <w:rFonts w:ascii="仿宋_GB2312" w:hAnsi="仿宋_GB2312" w:cs="仿宋_GB2312" w:eastAsia="仿宋_GB2312"/>
                <w:sz w:val="28"/>
                <w:color w:val="000000"/>
              </w:rPr>
              <w:t>202</w:t>
            </w:r>
            <w:r>
              <w:rPr>
                <w:rFonts w:ascii="仿宋_GB2312" w:hAnsi="仿宋_GB2312" w:cs="仿宋_GB2312" w:eastAsia="仿宋_GB2312"/>
                <w:sz w:val="28"/>
                <w:color w:val="000000"/>
              </w:rPr>
              <w:t>6</w:t>
            </w:r>
            <w:r>
              <w:rPr>
                <w:rFonts w:ascii="仿宋_GB2312" w:hAnsi="仿宋_GB2312" w:cs="仿宋_GB2312" w:eastAsia="仿宋_GB2312"/>
                <w:sz w:val="28"/>
                <w:color w:val="000000"/>
              </w:rPr>
              <w:t>年</w:t>
            </w:r>
            <w:r>
              <w:rPr>
                <w:rFonts w:ascii="仿宋_GB2312" w:hAnsi="仿宋_GB2312" w:cs="仿宋_GB2312" w:eastAsia="仿宋_GB2312"/>
                <w:sz w:val="28"/>
                <w:color w:val="000000"/>
              </w:rPr>
              <w:t>11月30日止。</w:t>
            </w:r>
          </w:p>
          <w:p>
            <w:pPr>
              <w:pStyle w:val="null3"/>
            </w:pPr>
            <w:r>
              <w:rPr>
                <w:rFonts w:ascii="仿宋_GB2312" w:hAnsi="仿宋_GB2312" w:cs="仿宋_GB2312" w:eastAsia="仿宋_GB2312"/>
                <w:sz w:val="28"/>
                <w:color w:val="000000"/>
              </w:rPr>
              <w:t>（二）款项结算</w:t>
            </w:r>
          </w:p>
          <w:p>
            <w:pPr>
              <w:pStyle w:val="null3"/>
              <w:ind w:firstLine="560"/>
            </w:pPr>
            <w:r>
              <w:rPr>
                <w:rFonts w:ascii="仿宋_GB2312" w:hAnsi="仿宋_GB2312" w:cs="仿宋_GB2312" w:eastAsia="仿宋_GB2312"/>
                <w:sz w:val="28"/>
                <w:color w:val="000000"/>
              </w:rPr>
              <w:t>合同签订收到供应商开具发票后</w:t>
            </w:r>
            <w:r>
              <w:rPr>
                <w:rFonts w:ascii="仿宋_GB2312" w:hAnsi="仿宋_GB2312" w:cs="仿宋_GB2312" w:eastAsia="仿宋_GB2312"/>
                <w:sz w:val="28"/>
                <w:color w:val="000000"/>
              </w:rPr>
              <w:t>10个工作日内，支付合同服务费总额的100%；供应商收到中标通知后，支付合同履约保证金，金额为合同服务费总额的10%。</w:t>
            </w:r>
          </w:p>
          <w:p>
            <w:pPr>
              <w:pStyle w:val="null3"/>
              <w:spacing w:before="315"/>
            </w:pPr>
            <w:r>
              <w:rPr>
                <w:rFonts w:ascii="仿宋_GB2312" w:hAnsi="仿宋_GB2312" w:cs="仿宋_GB2312" w:eastAsia="仿宋_GB2312"/>
                <w:sz w:val="28"/>
                <w:b/>
                <w:color w:val="000000"/>
              </w:rPr>
              <w:t>六、其他</w:t>
            </w:r>
          </w:p>
          <w:p>
            <w:pPr>
              <w:pStyle w:val="null3"/>
            </w:pPr>
            <w:r>
              <w:rPr>
                <w:rFonts w:ascii="仿宋_GB2312" w:hAnsi="仿宋_GB2312" w:cs="仿宋_GB2312" w:eastAsia="仿宋_GB2312"/>
                <w:sz w:val="28"/>
                <w:color w:val="000000"/>
              </w:rPr>
              <w:t>（一）进度要求</w:t>
            </w:r>
          </w:p>
          <w:p>
            <w:pPr>
              <w:pStyle w:val="null3"/>
              <w:ind w:firstLine="560"/>
            </w:pPr>
            <w:r>
              <w:rPr>
                <w:rFonts w:ascii="仿宋_GB2312" w:hAnsi="仿宋_GB2312" w:cs="仿宋_GB2312" w:eastAsia="仿宋_GB2312"/>
                <w:sz w:val="28"/>
                <w:color w:val="000000"/>
              </w:rPr>
              <w:t>1、合同签约后10个工作日配备固定技术人员到位；</w:t>
            </w:r>
          </w:p>
          <w:p>
            <w:pPr>
              <w:pStyle w:val="null3"/>
              <w:ind w:firstLine="560"/>
            </w:pPr>
            <w:r>
              <w:rPr>
                <w:rFonts w:ascii="仿宋_GB2312" w:hAnsi="仿宋_GB2312" w:cs="仿宋_GB2312" w:eastAsia="仿宋_GB2312"/>
                <w:sz w:val="28"/>
                <w:color w:val="000000"/>
              </w:rPr>
              <w:t>2、合同签约后15个工作日内完成平台功能培训。</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）成果交付要求</w:t>
            </w:r>
          </w:p>
          <w:p>
            <w:pPr>
              <w:pStyle w:val="null3"/>
              <w:spacing w:after="315"/>
              <w:ind w:firstLine="620"/>
            </w:pPr>
            <w:r>
              <w:rPr>
                <w:rFonts w:ascii="仿宋_GB2312" w:hAnsi="仿宋_GB2312" w:cs="仿宋_GB2312" w:eastAsia="仿宋_GB2312"/>
                <w:sz w:val="28"/>
                <w:color w:val="000000"/>
              </w:rPr>
              <w:t>平台功能使用正常，系统运行稳定，以双方签字盖章的服务开通验收报告为准。</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三</w:t>
            </w:r>
            <w:r>
              <w:rPr>
                <w:rFonts w:ascii="仿宋_GB2312" w:hAnsi="仿宋_GB2312" w:cs="仿宋_GB2312" w:eastAsia="仿宋_GB2312"/>
                <w:sz w:val="28"/>
                <w:color w:val="000000"/>
              </w:rPr>
              <w:t>）</w:t>
            </w:r>
            <w:r>
              <w:rPr>
                <w:rFonts w:ascii="仿宋_GB2312" w:hAnsi="仿宋_GB2312" w:cs="仿宋_GB2312" w:eastAsia="仿宋_GB2312"/>
                <w:sz w:val="28"/>
                <w:color w:val="000000"/>
              </w:rPr>
              <w:t>质量验收标准或规范</w:t>
            </w:r>
          </w:p>
          <w:p>
            <w:pPr>
              <w:pStyle w:val="null3"/>
              <w:ind w:firstLine="560"/>
            </w:pPr>
            <w:r>
              <w:rPr>
                <w:rFonts w:ascii="仿宋_GB2312" w:hAnsi="仿宋_GB2312" w:cs="仿宋_GB2312" w:eastAsia="仿宋_GB2312"/>
                <w:sz w:val="28"/>
                <w:color w:val="000000"/>
              </w:rPr>
              <w:t>1、GB/T11457-2006，《信息技术软件工程术语》</w:t>
            </w:r>
          </w:p>
          <w:p>
            <w:pPr>
              <w:pStyle w:val="null3"/>
              <w:ind w:firstLine="560"/>
            </w:pPr>
            <w:r>
              <w:rPr>
                <w:rFonts w:ascii="仿宋_GB2312" w:hAnsi="仿宋_GB2312" w:cs="仿宋_GB2312" w:eastAsia="仿宋_GB2312"/>
                <w:sz w:val="28"/>
                <w:color w:val="000000"/>
              </w:rPr>
              <w:t>2、GB/T8567-2006，《计算机软件文档编制规范》</w:t>
            </w:r>
          </w:p>
          <w:p>
            <w:pPr>
              <w:pStyle w:val="null3"/>
              <w:ind w:firstLine="560"/>
            </w:pPr>
            <w:r>
              <w:rPr>
                <w:rFonts w:ascii="仿宋_GB2312" w:hAnsi="仿宋_GB2312" w:cs="仿宋_GB2312" w:eastAsia="仿宋_GB2312"/>
                <w:sz w:val="28"/>
                <w:color w:val="000000"/>
              </w:rPr>
              <w:t>3、GB/T20158-2006，《信息技术软件生存周期过程配置管理》</w:t>
            </w:r>
          </w:p>
          <w:p>
            <w:pPr>
              <w:pStyle w:val="null3"/>
              <w:ind w:firstLine="560"/>
            </w:pPr>
            <w:r>
              <w:rPr>
                <w:rFonts w:ascii="仿宋_GB2312" w:hAnsi="仿宋_GB2312" w:cs="仿宋_GB2312" w:eastAsia="仿宋_GB2312"/>
                <w:sz w:val="28"/>
                <w:color w:val="000000"/>
              </w:rPr>
              <w:t>4、GB/T20157-2006，《信息技术软件维护》</w:t>
            </w:r>
          </w:p>
          <w:p>
            <w:pPr>
              <w:pStyle w:val="null3"/>
              <w:ind w:firstLine="560"/>
            </w:pPr>
            <w:r>
              <w:rPr>
                <w:rFonts w:ascii="仿宋_GB2312" w:hAnsi="仿宋_GB2312" w:cs="仿宋_GB2312" w:eastAsia="仿宋_GB2312"/>
                <w:sz w:val="28"/>
                <w:color w:val="000000"/>
              </w:rPr>
              <w:t>5、GB/T20918-2007，《信息技术软件生存周期过程风险管理》</w:t>
            </w:r>
          </w:p>
          <w:p>
            <w:pPr>
              <w:pStyle w:val="null3"/>
            </w:pPr>
            <w:r>
              <w:rPr>
                <w:rFonts w:ascii="仿宋_GB2312" w:hAnsi="仿宋_GB2312" w:cs="仿宋_GB2312" w:eastAsia="仿宋_GB2312"/>
                <w:sz w:val="28"/>
                <w:color w:val="000000"/>
              </w:rPr>
              <w:t>（</w:t>
            </w:r>
            <w:r>
              <w:rPr>
                <w:rFonts w:ascii="仿宋_GB2312" w:hAnsi="仿宋_GB2312" w:cs="仿宋_GB2312" w:eastAsia="仿宋_GB2312"/>
                <w:sz w:val="28"/>
                <w:color w:val="000000"/>
              </w:rPr>
              <w:t>四</w:t>
            </w:r>
            <w:r>
              <w:rPr>
                <w:rFonts w:ascii="仿宋_GB2312" w:hAnsi="仿宋_GB2312" w:cs="仿宋_GB2312" w:eastAsia="仿宋_GB2312"/>
                <w:sz w:val="28"/>
                <w:color w:val="000000"/>
              </w:rPr>
              <w:t>）违约责任</w:t>
            </w:r>
          </w:p>
          <w:p>
            <w:pPr>
              <w:pStyle w:val="null3"/>
              <w:ind w:firstLine="560"/>
            </w:pPr>
            <w:r>
              <w:rPr>
                <w:rFonts w:ascii="仿宋_GB2312" w:hAnsi="仿宋_GB2312" w:cs="仿宋_GB2312" w:eastAsia="仿宋_GB2312"/>
                <w:sz w:val="28"/>
                <w:color w:val="000000"/>
              </w:rPr>
              <w:t>1、未能按期提供购买服务，每逾期</w:t>
            </w:r>
            <w:r>
              <w:rPr>
                <w:rFonts w:ascii="仿宋_GB2312" w:hAnsi="仿宋_GB2312" w:cs="仿宋_GB2312" w:eastAsia="仿宋_GB2312"/>
                <w:sz w:val="28"/>
                <w:color w:val="000000"/>
              </w:rPr>
              <w:t>1</w:t>
            </w:r>
            <w:r>
              <w:rPr>
                <w:rFonts w:ascii="仿宋_GB2312" w:hAnsi="仿宋_GB2312" w:cs="仿宋_GB2312" w:eastAsia="仿宋_GB2312"/>
                <w:sz w:val="28"/>
                <w:color w:val="000000"/>
              </w:rPr>
              <w:t>日，供应商须向采购方支付本合同总价款</w:t>
            </w:r>
            <w:r>
              <w:rPr>
                <w:rFonts w:ascii="仿宋_GB2312" w:hAnsi="仿宋_GB2312" w:cs="仿宋_GB2312" w:eastAsia="仿宋_GB2312"/>
                <w:sz w:val="28"/>
                <w:color w:val="000000"/>
              </w:rPr>
              <w:t>1 ‰的违约金。合同逾期</w:t>
            </w:r>
            <w:r>
              <w:rPr>
                <w:rFonts w:ascii="仿宋_GB2312" w:hAnsi="仿宋_GB2312" w:cs="仿宋_GB2312" w:eastAsia="仿宋_GB2312"/>
                <w:sz w:val="28"/>
                <w:color w:val="000000"/>
              </w:rPr>
              <w:t>20</w:t>
            </w:r>
            <w:r>
              <w:rPr>
                <w:rFonts w:ascii="仿宋_GB2312" w:hAnsi="仿宋_GB2312" w:cs="仿宋_GB2312" w:eastAsia="仿宋_GB2312"/>
                <w:sz w:val="28"/>
                <w:color w:val="000000"/>
              </w:rPr>
              <w:t>日的，采购方有权无责终止合同且保留追究供应商违约责任的权力。</w:t>
            </w:r>
          </w:p>
          <w:p>
            <w:pPr>
              <w:pStyle w:val="null3"/>
              <w:ind w:firstLine="560"/>
            </w:pPr>
            <w:r>
              <w:rPr>
                <w:rFonts w:ascii="仿宋_GB2312" w:hAnsi="仿宋_GB2312" w:cs="仿宋_GB2312" w:eastAsia="仿宋_GB2312"/>
                <w:sz w:val="28"/>
                <w:color w:val="000000"/>
              </w:rPr>
              <w:t>2、提供的服务不符合要求的，由供应商负责更正和修改，由此产生的费用由供应商承担。更改修改后仍不符合需求的，采购方有权终止合同并追究供应商违约责任，不足以弥补采购方损失的，供应商还应予以补偿。</w:t>
            </w:r>
          </w:p>
          <w:p>
            <w:pPr>
              <w:pStyle w:val="null3"/>
            </w:pPr>
            <w:r>
              <w:rPr>
                <w:rFonts w:ascii="仿宋_GB2312" w:hAnsi="仿宋_GB2312" w:cs="仿宋_GB2312" w:eastAsia="仿宋_GB2312"/>
                <w:sz w:val="28"/>
                <w:color w:val="000000"/>
              </w:rPr>
              <w:t>3、采购方数据属采购方所有，供应商应负责数据备份，并对采购方数据丢失或损坏承担责任。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合同签订收到供应商开具发票后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为保证项目顺利备案，成交供应商在领取纸质版成交通知书时，需提供纸质版响应文件一正两副，电子版一份。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单位负责人为同一人或者存在直接控股、管理关系的不同供应商，不得同时参加本采购项目投标；（提供书面承诺，加盖供应商公章）。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 xml:space="preserve"> 响应文件上法定代表人或被授权人的签字齐全 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