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BADA8">
      <w:pPr>
        <w:pStyle w:val="6"/>
        <w:jc w:val="center"/>
        <w:outlineLvl w:val="1"/>
        <w:rPr>
          <w:color w:val="auto"/>
          <w:highlight w:val="none"/>
        </w:rPr>
      </w:pPr>
      <w:r>
        <w:rPr>
          <w:rFonts w:ascii="仿宋_GB2312" w:hAnsi="仿宋_GB2312" w:eastAsia="仿宋_GB2312" w:cs="仿宋_GB2312"/>
          <w:b/>
          <w:color w:val="auto"/>
          <w:sz w:val="36"/>
          <w:highlight w:val="none"/>
        </w:rPr>
        <w:t>合同文本</w:t>
      </w:r>
    </w:p>
    <w:p w14:paraId="6987C689">
      <w:pPr>
        <w:tabs>
          <w:tab w:val="left" w:pos="480"/>
        </w:tabs>
        <w:spacing w:line="560" w:lineRule="exact"/>
        <w:rPr>
          <w:rFonts w:hint="eastAsia" w:ascii="仿宋" w:hAnsi="仿宋" w:eastAsia="仿宋" w:cs="仿宋"/>
          <w:color w:val="auto"/>
          <w:sz w:val="24"/>
          <w:highlight w:val="none"/>
        </w:rPr>
      </w:pPr>
      <w:r>
        <w:rPr>
          <w:rFonts w:hint="eastAsia" w:ascii="宋体" w:hAnsi="宋体" w:eastAsia="宋体" w:cs="仿宋"/>
          <w:color w:val="auto"/>
          <w:sz w:val="24"/>
          <w:highlight w:val="none"/>
          <w:lang w:val="en-US" w:eastAsia="zh-CN"/>
        </w:rPr>
        <w:tab/>
      </w:r>
      <w:r>
        <w:rPr>
          <w:rFonts w:hint="eastAsia" w:ascii="仿宋" w:hAnsi="仿宋" w:eastAsia="仿宋" w:cs="仿宋"/>
          <w:color w:val="auto"/>
          <w:sz w:val="24"/>
          <w:highlight w:val="none"/>
        </w:rPr>
        <w:t>甲方：</w:t>
      </w:r>
    </w:p>
    <w:p w14:paraId="21D276D6">
      <w:pPr>
        <w:tabs>
          <w:tab w:val="left" w:pos="480"/>
        </w:tabs>
        <w:spacing w:line="56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ab/>
      </w:r>
      <w:r>
        <w:rPr>
          <w:rFonts w:hint="eastAsia" w:ascii="仿宋" w:hAnsi="仿宋" w:eastAsia="仿宋" w:cs="仿宋"/>
          <w:color w:val="auto"/>
          <w:sz w:val="24"/>
          <w:highlight w:val="none"/>
        </w:rPr>
        <w:t>住所地</w:t>
      </w:r>
      <w:r>
        <w:rPr>
          <w:rFonts w:hint="eastAsia" w:ascii="仿宋" w:hAnsi="仿宋" w:eastAsia="仿宋" w:cs="仿宋"/>
          <w:color w:val="auto"/>
          <w:sz w:val="24"/>
          <w:highlight w:val="none"/>
          <w:lang w:eastAsia="zh-CN"/>
        </w:rPr>
        <w:t>：</w:t>
      </w:r>
    </w:p>
    <w:p w14:paraId="178E243E">
      <w:pPr>
        <w:tabs>
          <w:tab w:val="left" w:pos="48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ab/>
      </w:r>
      <w:r>
        <w:rPr>
          <w:rFonts w:hint="eastAsia" w:ascii="仿宋" w:hAnsi="仿宋" w:eastAsia="仿宋" w:cs="仿宋"/>
          <w:color w:val="auto"/>
          <w:sz w:val="24"/>
          <w:highlight w:val="none"/>
        </w:rPr>
        <w:t>法定代表人：</w:t>
      </w:r>
    </w:p>
    <w:p w14:paraId="2C2F174E">
      <w:pPr>
        <w:tabs>
          <w:tab w:val="left" w:pos="48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ab/>
      </w:r>
      <w:r>
        <w:rPr>
          <w:rFonts w:hint="eastAsia" w:ascii="仿宋" w:hAnsi="仿宋" w:eastAsia="仿宋" w:cs="仿宋"/>
          <w:color w:val="auto"/>
          <w:sz w:val="24"/>
          <w:highlight w:val="none"/>
        </w:rPr>
        <w:t>乙方：</w:t>
      </w:r>
    </w:p>
    <w:p w14:paraId="0B2F31D7">
      <w:pPr>
        <w:tabs>
          <w:tab w:val="left" w:pos="48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ab/>
      </w:r>
      <w:r>
        <w:rPr>
          <w:rFonts w:hint="eastAsia" w:ascii="仿宋" w:hAnsi="仿宋" w:eastAsia="仿宋" w:cs="仿宋"/>
          <w:color w:val="auto"/>
          <w:sz w:val="24"/>
          <w:highlight w:val="none"/>
        </w:rPr>
        <w:t>住所地：</w:t>
      </w:r>
      <w:bookmarkStart w:id="0" w:name="_GoBack"/>
      <w:bookmarkEnd w:id="0"/>
    </w:p>
    <w:p w14:paraId="0FFC7714">
      <w:pPr>
        <w:tabs>
          <w:tab w:val="left" w:pos="48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ab/>
      </w:r>
      <w:r>
        <w:rPr>
          <w:rFonts w:hint="eastAsia" w:ascii="仿宋" w:hAnsi="仿宋" w:eastAsia="仿宋" w:cs="仿宋"/>
          <w:color w:val="auto"/>
          <w:sz w:val="24"/>
          <w:highlight w:val="none"/>
        </w:rPr>
        <w:t>法定代表人：</w:t>
      </w:r>
    </w:p>
    <w:p w14:paraId="26BDDAA9">
      <w:pPr>
        <w:tabs>
          <w:tab w:val="left" w:pos="4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就甲方医疗管理系统项目，经公开招标，确定乙方为中标供应商。依据《中华人民共和国政府采购法》及实施条例、《中华人民共和国民法典》、乙方投标文件正本、中标通知书，经甲、乙双方协商一致，达成如下条款。</w:t>
      </w:r>
    </w:p>
    <w:p w14:paraId="4BE54502">
      <w:pPr>
        <w:numPr>
          <w:ilvl w:val="0"/>
          <w:numId w:val="2"/>
        </w:numPr>
        <w:tabs>
          <w:tab w:val="left" w:pos="480"/>
        </w:tabs>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采购内容（具体技术要求、功能要求以甲方采购文件要求及乙方投标文件正本内容为准）</w:t>
      </w:r>
    </w:p>
    <w:tbl>
      <w:tblPr>
        <w:tblStyle w:val="4"/>
        <w:tblW w:w="41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4403"/>
        <w:gridCol w:w="1299"/>
      </w:tblGrid>
      <w:tr w14:paraId="06CB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tcBorders>
              <w:tl2br w:val="nil"/>
              <w:tr2bl w:val="nil"/>
            </w:tcBorders>
            <w:shd w:val="clear" w:color="auto" w:fill="FFFFFF" w:themeFill="background1"/>
            <w:vAlign w:val="center"/>
          </w:tcPr>
          <w:p w14:paraId="42902BB3">
            <w:pPr>
              <w:widowControl/>
              <w:spacing w:line="24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系统名称</w:t>
            </w:r>
          </w:p>
        </w:tc>
        <w:tc>
          <w:tcPr>
            <w:tcW w:w="3095" w:type="pct"/>
            <w:tcBorders>
              <w:tl2br w:val="nil"/>
              <w:tr2bl w:val="nil"/>
            </w:tcBorders>
            <w:shd w:val="clear" w:color="auto" w:fill="FFFFFF" w:themeFill="background1"/>
            <w:vAlign w:val="center"/>
          </w:tcPr>
          <w:p w14:paraId="336310CD">
            <w:pPr>
              <w:widowControl/>
              <w:spacing w:line="24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模块</w:t>
            </w:r>
            <w:r>
              <w:rPr>
                <w:rFonts w:hint="eastAsia" w:ascii="仿宋" w:hAnsi="仿宋" w:eastAsia="仿宋" w:cs="仿宋"/>
                <w:color w:val="auto"/>
                <w:kern w:val="0"/>
                <w:sz w:val="24"/>
                <w:szCs w:val="24"/>
                <w:highlight w:val="none"/>
                <w:lang w:val="en-US" w:eastAsia="zh-CN"/>
              </w:rPr>
              <w:t>名称</w:t>
            </w:r>
          </w:p>
        </w:tc>
        <w:tc>
          <w:tcPr>
            <w:tcW w:w="913" w:type="pct"/>
            <w:tcBorders>
              <w:tl2br w:val="nil"/>
              <w:tr2bl w:val="nil"/>
            </w:tcBorders>
            <w:shd w:val="clear" w:color="auto" w:fill="FFFFFF" w:themeFill="background1"/>
            <w:vAlign w:val="center"/>
          </w:tcPr>
          <w:p w14:paraId="7F65CD4C">
            <w:pPr>
              <w:widowControl/>
              <w:spacing w:line="24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数量</w:t>
            </w:r>
          </w:p>
        </w:tc>
      </w:tr>
      <w:tr w14:paraId="1AA7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34604516">
            <w:pPr>
              <w:widowControl/>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一体化智慧医院信息系统</w:t>
            </w:r>
          </w:p>
        </w:tc>
        <w:tc>
          <w:tcPr>
            <w:tcW w:w="3095" w:type="pct"/>
            <w:tcBorders>
              <w:tl2br w:val="nil"/>
              <w:tr2bl w:val="nil"/>
            </w:tcBorders>
            <w:shd w:val="clear" w:color="auto" w:fill="auto"/>
            <w:noWrap/>
            <w:vAlign w:val="center"/>
          </w:tcPr>
          <w:p w14:paraId="773A4F03">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门急诊挂号收费系统</w:t>
            </w:r>
          </w:p>
        </w:tc>
        <w:tc>
          <w:tcPr>
            <w:tcW w:w="913" w:type="pct"/>
            <w:vMerge w:val="restart"/>
            <w:tcBorders>
              <w:tl2br w:val="nil"/>
              <w:tr2bl w:val="nil"/>
            </w:tcBorders>
            <w:shd w:val="clear" w:color="auto" w:fill="auto"/>
            <w:noWrap/>
            <w:vAlign w:val="center"/>
          </w:tcPr>
          <w:p w14:paraId="2D1F56BE">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6D1E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C93C800">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F1C584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门诊医生工作站</w:t>
            </w:r>
          </w:p>
        </w:tc>
        <w:tc>
          <w:tcPr>
            <w:tcW w:w="913" w:type="pct"/>
            <w:vMerge w:val="continue"/>
            <w:tcBorders>
              <w:tl2br w:val="nil"/>
              <w:tr2bl w:val="nil"/>
            </w:tcBorders>
            <w:shd w:val="clear" w:color="auto" w:fill="auto"/>
            <w:noWrap/>
            <w:vAlign w:val="center"/>
          </w:tcPr>
          <w:p w14:paraId="6A245E79">
            <w:pPr>
              <w:widowControl/>
              <w:spacing w:line="240" w:lineRule="auto"/>
              <w:jc w:val="left"/>
              <w:rPr>
                <w:rFonts w:hint="eastAsia" w:ascii="仿宋" w:hAnsi="仿宋" w:eastAsia="仿宋" w:cs="仿宋"/>
                <w:color w:val="auto"/>
                <w:kern w:val="0"/>
                <w:sz w:val="24"/>
                <w:szCs w:val="24"/>
                <w:highlight w:val="none"/>
              </w:rPr>
            </w:pPr>
          </w:p>
        </w:tc>
      </w:tr>
      <w:tr w14:paraId="3E43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74E9FD3">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978C22F">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门急</w:t>
            </w:r>
            <w:r>
              <w:rPr>
                <w:rFonts w:hint="eastAsia" w:ascii="仿宋" w:hAnsi="仿宋" w:eastAsia="仿宋" w:cs="仿宋"/>
                <w:color w:val="auto"/>
                <w:kern w:val="0"/>
                <w:sz w:val="24"/>
                <w:szCs w:val="24"/>
                <w:highlight w:val="none"/>
              </w:rPr>
              <w:t>诊电子病历系统</w:t>
            </w:r>
          </w:p>
        </w:tc>
        <w:tc>
          <w:tcPr>
            <w:tcW w:w="913" w:type="pct"/>
            <w:vMerge w:val="continue"/>
            <w:tcBorders>
              <w:tl2br w:val="nil"/>
              <w:tr2bl w:val="nil"/>
            </w:tcBorders>
            <w:shd w:val="clear" w:color="auto" w:fill="auto"/>
            <w:noWrap/>
            <w:vAlign w:val="center"/>
          </w:tcPr>
          <w:p w14:paraId="5CFA1918">
            <w:pPr>
              <w:widowControl/>
              <w:spacing w:line="240" w:lineRule="auto"/>
              <w:jc w:val="left"/>
              <w:rPr>
                <w:rFonts w:hint="eastAsia" w:ascii="仿宋" w:hAnsi="仿宋" w:eastAsia="仿宋" w:cs="仿宋"/>
                <w:color w:val="auto"/>
                <w:kern w:val="0"/>
                <w:sz w:val="24"/>
                <w:szCs w:val="24"/>
                <w:highlight w:val="none"/>
                <w:lang w:val="en-US" w:eastAsia="zh-CN"/>
              </w:rPr>
            </w:pPr>
          </w:p>
        </w:tc>
      </w:tr>
      <w:tr w14:paraId="106D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3CA95A5A">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1C5B52E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门诊护士工作站</w:t>
            </w:r>
          </w:p>
        </w:tc>
        <w:tc>
          <w:tcPr>
            <w:tcW w:w="913" w:type="pct"/>
            <w:vMerge w:val="continue"/>
            <w:tcBorders>
              <w:tl2br w:val="nil"/>
              <w:tr2bl w:val="nil"/>
            </w:tcBorders>
            <w:shd w:val="clear" w:color="auto" w:fill="auto"/>
            <w:noWrap/>
            <w:vAlign w:val="center"/>
          </w:tcPr>
          <w:p w14:paraId="3331B6EE">
            <w:pPr>
              <w:widowControl/>
              <w:spacing w:line="240" w:lineRule="auto"/>
              <w:jc w:val="left"/>
              <w:rPr>
                <w:rFonts w:hint="eastAsia" w:ascii="仿宋" w:hAnsi="仿宋" w:eastAsia="仿宋" w:cs="仿宋"/>
                <w:color w:val="auto"/>
                <w:kern w:val="0"/>
                <w:sz w:val="24"/>
                <w:szCs w:val="24"/>
                <w:highlight w:val="none"/>
              </w:rPr>
            </w:pPr>
          </w:p>
        </w:tc>
      </w:tr>
      <w:tr w14:paraId="325F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41B2EF1">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81C49C3">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预住院管理</w:t>
            </w:r>
            <w:r>
              <w:rPr>
                <w:rFonts w:hint="eastAsia" w:ascii="仿宋" w:hAnsi="仿宋" w:eastAsia="仿宋" w:cs="仿宋"/>
                <w:color w:val="auto"/>
                <w:kern w:val="0"/>
                <w:sz w:val="24"/>
                <w:szCs w:val="24"/>
                <w:highlight w:val="none"/>
                <w:lang w:val="en-US" w:eastAsia="zh-CN"/>
              </w:rPr>
              <w:t>+日间手术管理</w:t>
            </w:r>
          </w:p>
        </w:tc>
        <w:tc>
          <w:tcPr>
            <w:tcW w:w="913" w:type="pct"/>
            <w:vMerge w:val="continue"/>
            <w:tcBorders>
              <w:tl2br w:val="nil"/>
              <w:tr2bl w:val="nil"/>
            </w:tcBorders>
            <w:shd w:val="clear" w:color="auto" w:fill="auto"/>
            <w:noWrap/>
            <w:vAlign w:val="center"/>
          </w:tcPr>
          <w:p w14:paraId="542AE2B5">
            <w:pPr>
              <w:widowControl/>
              <w:spacing w:line="240" w:lineRule="auto"/>
              <w:jc w:val="left"/>
              <w:rPr>
                <w:rFonts w:hint="eastAsia" w:ascii="仿宋" w:hAnsi="仿宋" w:eastAsia="仿宋" w:cs="仿宋"/>
                <w:color w:val="auto"/>
                <w:kern w:val="0"/>
                <w:sz w:val="24"/>
                <w:szCs w:val="24"/>
                <w:highlight w:val="none"/>
              </w:rPr>
            </w:pPr>
          </w:p>
        </w:tc>
      </w:tr>
      <w:tr w14:paraId="293F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EC601ED">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00FF81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住院收费系统</w:t>
            </w:r>
          </w:p>
        </w:tc>
        <w:tc>
          <w:tcPr>
            <w:tcW w:w="913" w:type="pct"/>
            <w:vMerge w:val="continue"/>
            <w:tcBorders>
              <w:tl2br w:val="nil"/>
              <w:tr2bl w:val="nil"/>
            </w:tcBorders>
            <w:shd w:val="clear" w:color="auto" w:fill="auto"/>
            <w:noWrap/>
            <w:vAlign w:val="center"/>
          </w:tcPr>
          <w:p w14:paraId="653298A6">
            <w:pPr>
              <w:widowControl/>
              <w:spacing w:line="240" w:lineRule="auto"/>
              <w:jc w:val="left"/>
              <w:rPr>
                <w:rFonts w:hint="eastAsia" w:ascii="仿宋" w:hAnsi="仿宋" w:eastAsia="仿宋" w:cs="仿宋"/>
                <w:color w:val="auto"/>
                <w:kern w:val="0"/>
                <w:sz w:val="24"/>
                <w:szCs w:val="24"/>
                <w:highlight w:val="none"/>
              </w:rPr>
            </w:pPr>
          </w:p>
        </w:tc>
      </w:tr>
      <w:tr w14:paraId="7020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F2813BD">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97369F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住院入出转管理</w:t>
            </w:r>
          </w:p>
        </w:tc>
        <w:tc>
          <w:tcPr>
            <w:tcW w:w="913" w:type="pct"/>
            <w:vMerge w:val="continue"/>
            <w:tcBorders>
              <w:tl2br w:val="nil"/>
              <w:tr2bl w:val="nil"/>
            </w:tcBorders>
            <w:shd w:val="clear" w:color="auto" w:fill="auto"/>
            <w:noWrap/>
            <w:vAlign w:val="center"/>
          </w:tcPr>
          <w:p w14:paraId="138683F0">
            <w:pPr>
              <w:widowControl/>
              <w:spacing w:line="240" w:lineRule="auto"/>
              <w:jc w:val="left"/>
              <w:rPr>
                <w:rFonts w:hint="eastAsia" w:ascii="仿宋" w:hAnsi="仿宋" w:eastAsia="仿宋" w:cs="仿宋"/>
                <w:color w:val="auto"/>
                <w:kern w:val="0"/>
                <w:sz w:val="24"/>
                <w:szCs w:val="24"/>
                <w:highlight w:val="none"/>
              </w:rPr>
            </w:pPr>
          </w:p>
        </w:tc>
      </w:tr>
      <w:tr w14:paraId="405A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B4A40D2">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0319E3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住院医生工作站</w:t>
            </w:r>
          </w:p>
        </w:tc>
        <w:tc>
          <w:tcPr>
            <w:tcW w:w="913" w:type="pct"/>
            <w:vMerge w:val="continue"/>
            <w:tcBorders>
              <w:tl2br w:val="nil"/>
              <w:tr2bl w:val="nil"/>
            </w:tcBorders>
            <w:shd w:val="clear" w:color="auto" w:fill="auto"/>
            <w:noWrap/>
            <w:vAlign w:val="center"/>
          </w:tcPr>
          <w:p w14:paraId="2394BE39">
            <w:pPr>
              <w:widowControl/>
              <w:spacing w:line="240" w:lineRule="auto"/>
              <w:jc w:val="left"/>
              <w:rPr>
                <w:rFonts w:hint="eastAsia" w:ascii="仿宋" w:hAnsi="仿宋" w:eastAsia="仿宋" w:cs="仿宋"/>
                <w:color w:val="auto"/>
                <w:kern w:val="0"/>
                <w:sz w:val="24"/>
                <w:szCs w:val="24"/>
                <w:highlight w:val="none"/>
              </w:rPr>
            </w:pPr>
          </w:p>
        </w:tc>
      </w:tr>
      <w:tr w14:paraId="51CA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A4FE98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741A608">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住院电子病历系统</w:t>
            </w:r>
          </w:p>
        </w:tc>
        <w:tc>
          <w:tcPr>
            <w:tcW w:w="913" w:type="pct"/>
            <w:vMerge w:val="continue"/>
            <w:tcBorders>
              <w:tl2br w:val="nil"/>
              <w:tr2bl w:val="nil"/>
            </w:tcBorders>
            <w:shd w:val="clear" w:color="auto" w:fill="auto"/>
            <w:noWrap/>
            <w:vAlign w:val="center"/>
          </w:tcPr>
          <w:p w14:paraId="31765A73">
            <w:pPr>
              <w:widowControl/>
              <w:spacing w:line="240" w:lineRule="auto"/>
              <w:jc w:val="left"/>
              <w:rPr>
                <w:rFonts w:hint="eastAsia" w:ascii="仿宋" w:hAnsi="仿宋" w:eastAsia="仿宋" w:cs="仿宋"/>
                <w:color w:val="auto"/>
                <w:kern w:val="0"/>
                <w:sz w:val="24"/>
                <w:szCs w:val="24"/>
                <w:highlight w:val="none"/>
              </w:rPr>
            </w:pPr>
          </w:p>
        </w:tc>
      </w:tr>
      <w:tr w14:paraId="5FC6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0904C74">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A914C3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住院护士工作站</w:t>
            </w:r>
          </w:p>
        </w:tc>
        <w:tc>
          <w:tcPr>
            <w:tcW w:w="913" w:type="pct"/>
            <w:vMerge w:val="continue"/>
            <w:tcBorders>
              <w:tl2br w:val="nil"/>
              <w:tr2bl w:val="nil"/>
            </w:tcBorders>
            <w:shd w:val="clear" w:color="auto" w:fill="auto"/>
            <w:noWrap/>
            <w:vAlign w:val="center"/>
          </w:tcPr>
          <w:p w14:paraId="5619F363">
            <w:pPr>
              <w:widowControl/>
              <w:spacing w:line="240" w:lineRule="auto"/>
              <w:jc w:val="left"/>
              <w:rPr>
                <w:rFonts w:hint="eastAsia" w:ascii="仿宋" w:hAnsi="仿宋" w:eastAsia="仿宋" w:cs="仿宋"/>
                <w:color w:val="auto"/>
                <w:kern w:val="0"/>
                <w:sz w:val="24"/>
                <w:szCs w:val="24"/>
                <w:highlight w:val="none"/>
              </w:rPr>
            </w:pPr>
          </w:p>
        </w:tc>
      </w:tr>
      <w:tr w14:paraId="721E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3A4FB828">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447F116">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护理电子病历</w:t>
            </w:r>
            <w:r>
              <w:rPr>
                <w:rFonts w:hint="eastAsia" w:ascii="仿宋" w:hAnsi="仿宋" w:eastAsia="仿宋" w:cs="仿宋"/>
                <w:color w:val="auto"/>
                <w:kern w:val="0"/>
                <w:sz w:val="24"/>
                <w:szCs w:val="24"/>
                <w:highlight w:val="none"/>
                <w:lang w:val="en-US" w:eastAsia="zh-CN"/>
              </w:rPr>
              <w:t>与管理</w:t>
            </w:r>
            <w:r>
              <w:rPr>
                <w:rFonts w:hint="eastAsia" w:ascii="仿宋" w:hAnsi="仿宋" w:eastAsia="仿宋" w:cs="仿宋"/>
                <w:color w:val="auto"/>
                <w:kern w:val="0"/>
                <w:sz w:val="24"/>
                <w:szCs w:val="24"/>
                <w:highlight w:val="none"/>
              </w:rPr>
              <w:t>系统</w:t>
            </w:r>
            <w:r>
              <w:rPr>
                <w:rFonts w:hint="eastAsia" w:ascii="仿宋" w:hAnsi="仿宋" w:eastAsia="仿宋" w:cs="仿宋"/>
                <w:color w:val="auto"/>
                <w:kern w:val="0"/>
                <w:sz w:val="24"/>
                <w:szCs w:val="24"/>
                <w:highlight w:val="none"/>
                <w:lang w:val="en-US" w:eastAsia="zh-CN"/>
              </w:rPr>
              <w:t>接口</w:t>
            </w:r>
          </w:p>
        </w:tc>
        <w:tc>
          <w:tcPr>
            <w:tcW w:w="913" w:type="pct"/>
            <w:vMerge w:val="continue"/>
            <w:tcBorders>
              <w:tl2br w:val="nil"/>
              <w:tr2bl w:val="nil"/>
            </w:tcBorders>
            <w:shd w:val="clear" w:color="auto" w:fill="auto"/>
            <w:noWrap/>
            <w:vAlign w:val="center"/>
          </w:tcPr>
          <w:p w14:paraId="791D8DDD">
            <w:pPr>
              <w:widowControl/>
              <w:spacing w:line="240" w:lineRule="auto"/>
              <w:jc w:val="left"/>
              <w:rPr>
                <w:rFonts w:hint="eastAsia" w:ascii="仿宋" w:hAnsi="仿宋" w:eastAsia="仿宋" w:cs="仿宋"/>
                <w:color w:val="auto"/>
                <w:kern w:val="0"/>
                <w:sz w:val="24"/>
                <w:szCs w:val="24"/>
                <w:highlight w:val="none"/>
              </w:rPr>
            </w:pPr>
          </w:p>
        </w:tc>
      </w:tr>
      <w:tr w14:paraId="71F5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29B5CFE">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16B35CD3">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医技计费管理系统</w:t>
            </w:r>
          </w:p>
        </w:tc>
        <w:tc>
          <w:tcPr>
            <w:tcW w:w="913" w:type="pct"/>
            <w:vMerge w:val="continue"/>
            <w:tcBorders>
              <w:tl2br w:val="nil"/>
              <w:tr2bl w:val="nil"/>
            </w:tcBorders>
            <w:shd w:val="clear" w:color="auto" w:fill="auto"/>
            <w:noWrap/>
            <w:vAlign w:val="center"/>
          </w:tcPr>
          <w:p w14:paraId="56F60DEB">
            <w:pPr>
              <w:widowControl/>
              <w:spacing w:line="240" w:lineRule="auto"/>
              <w:jc w:val="left"/>
              <w:rPr>
                <w:rFonts w:hint="eastAsia" w:ascii="仿宋" w:hAnsi="仿宋" w:eastAsia="仿宋" w:cs="仿宋"/>
                <w:color w:val="auto"/>
                <w:kern w:val="0"/>
                <w:sz w:val="24"/>
                <w:szCs w:val="24"/>
                <w:highlight w:val="none"/>
              </w:rPr>
            </w:pPr>
          </w:p>
        </w:tc>
      </w:tr>
      <w:tr w14:paraId="31F1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5225B23">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727C849">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手麻计费管理系统</w:t>
            </w:r>
          </w:p>
        </w:tc>
        <w:tc>
          <w:tcPr>
            <w:tcW w:w="913" w:type="pct"/>
            <w:vMerge w:val="continue"/>
            <w:tcBorders>
              <w:tl2br w:val="nil"/>
              <w:tr2bl w:val="nil"/>
            </w:tcBorders>
            <w:shd w:val="clear" w:color="auto" w:fill="auto"/>
            <w:noWrap/>
            <w:vAlign w:val="center"/>
          </w:tcPr>
          <w:p w14:paraId="49B45A46">
            <w:pPr>
              <w:widowControl/>
              <w:spacing w:line="240" w:lineRule="auto"/>
              <w:jc w:val="left"/>
              <w:rPr>
                <w:rFonts w:hint="eastAsia" w:ascii="仿宋" w:hAnsi="仿宋" w:eastAsia="仿宋" w:cs="仿宋"/>
                <w:color w:val="auto"/>
                <w:kern w:val="0"/>
                <w:sz w:val="24"/>
                <w:szCs w:val="24"/>
                <w:highlight w:val="none"/>
              </w:rPr>
            </w:pPr>
          </w:p>
        </w:tc>
      </w:tr>
      <w:tr w14:paraId="2E18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4B1952C">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30FB393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治疗管理系统 </w:t>
            </w:r>
          </w:p>
        </w:tc>
        <w:tc>
          <w:tcPr>
            <w:tcW w:w="913" w:type="pct"/>
            <w:vMerge w:val="continue"/>
            <w:tcBorders>
              <w:tl2br w:val="nil"/>
              <w:tr2bl w:val="nil"/>
            </w:tcBorders>
            <w:shd w:val="clear" w:color="auto" w:fill="auto"/>
            <w:noWrap/>
            <w:vAlign w:val="center"/>
          </w:tcPr>
          <w:p w14:paraId="39B56054">
            <w:pPr>
              <w:widowControl/>
              <w:spacing w:line="240" w:lineRule="auto"/>
              <w:jc w:val="left"/>
              <w:rPr>
                <w:rFonts w:hint="eastAsia" w:ascii="仿宋" w:hAnsi="仿宋" w:eastAsia="仿宋" w:cs="仿宋"/>
                <w:color w:val="auto"/>
                <w:kern w:val="0"/>
                <w:sz w:val="24"/>
                <w:szCs w:val="24"/>
                <w:highlight w:val="none"/>
              </w:rPr>
            </w:pPr>
          </w:p>
        </w:tc>
      </w:tr>
      <w:tr w14:paraId="7C7F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41BD5AA">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EE802B7">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药库管理系统</w:t>
            </w:r>
          </w:p>
        </w:tc>
        <w:tc>
          <w:tcPr>
            <w:tcW w:w="913" w:type="pct"/>
            <w:vMerge w:val="continue"/>
            <w:tcBorders>
              <w:tl2br w:val="nil"/>
              <w:tr2bl w:val="nil"/>
            </w:tcBorders>
            <w:shd w:val="clear" w:color="auto" w:fill="auto"/>
            <w:noWrap/>
            <w:vAlign w:val="center"/>
          </w:tcPr>
          <w:p w14:paraId="71E4ED63">
            <w:pPr>
              <w:widowControl/>
              <w:spacing w:line="240" w:lineRule="auto"/>
              <w:jc w:val="left"/>
              <w:rPr>
                <w:rFonts w:hint="eastAsia" w:ascii="仿宋" w:hAnsi="仿宋" w:eastAsia="仿宋" w:cs="仿宋"/>
                <w:color w:val="auto"/>
                <w:kern w:val="0"/>
                <w:sz w:val="24"/>
                <w:szCs w:val="24"/>
                <w:highlight w:val="none"/>
              </w:rPr>
            </w:pPr>
          </w:p>
        </w:tc>
      </w:tr>
      <w:tr w14:paraId="45CC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D099DA3">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5C22870">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中草</w:t>
            </w:r>
            <w:r>
              <w:rPr>
                <w:rFonts w:hint="eastAsia" w:ascii="仿宋" w:hAnsi="仿宋" w:eastAsia="仿宋" w:cs="仿宋"/>
                <w:color w:val="auto"/>
                <w:kern w:val="0"/>
                <w:sz w:val="24"/>
                <w:szCs w:val="24"/>
                <w:highlight w:val="none"/>
              </w:rPr>
              <w:t>药管理系统</w:t>
            </w:r>
          </w:p>
        </w:tc>
        <w:tc>
          <w:tcPr>
            <w:tcW w:w="913" w:type="pct"/>
            <w:vMerge w:val="continue"/>
            <w:tcBorders>
              <w:tl2br w:val="nil"/>
              <w:tr2bl w:val="nil"/>
            </w:tcBorders>
            <w:shd w:val="clear" w:color="auto" w:fill="auto"/>
            <w:noWrap/>
            <w:vAlign w:val="center"/>
          </w:tcPr>
          <w:p w14:paraId="56F35837">
            <w:pPr>
              <w:widowControl/>
              <w:spacing w:line="240" w:lineRule="auto"/>
              <w:jc w:val="left"/>
              <w:rPr>
                <w:rFonts w:hint="eastAsia" w:ascii="仿宋" w:hAnsi="仿宋" w:eastAsia="仿宋" w:cs="仿宋"/>
                <w:color w:val="auto"/>
                <w:kern w:val="0"/>
                <w:sz w:val="24"/>
                <w:szCs w:val="24"/>
                <w:highlight w:val="none"/>
                <w:lang w:val="en-US" w:eastAsia="zh-CN"/>
              </w:rPr>
            </w:pPr>
          </w:p>
        </w:tc>
      </w:tr>
      <w:tr w14:paraId="5B6F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35BEC61">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597F29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门急诊药房管理系统</w:t>
            </w:r>
          </w:p>
        </w:tc>
        <w:tc>
          <w:tcPr>
            <w:tcW w:w="913" w:type="pct"/>
            <w:vMerge w:val="continue"/>
            <w:tcBorders>
              <w:tl2br w:val="nil"/>
              <w:tr2bl w:val="nil"/>
            </w:tcBorders>
            <w:shd w:val="clear" w:color="auto" w:fill="auto"/>
            <w:noWrap/>
            <w:vAlign w:val="center"/>
          </w:tcPr>
          <w:p w14:paraId="6A546FCC">
            <w:pPr>
              <w:widowControl/>
              <w:spacing w:line="240" w:lineRule="auto"/>
              <w:jc w:val="left"/>
              <w:rPr>
                <w:rFonts w:hint="eastAsia" w:ascii="仿宋" w:hAnsi="仿宋" w:eastAsia="仿宋" w:cs="仿宋"/>
                <w:color w:val="auto"/>
                <w:kern w:val="0"/>
                <w:sz w:val="24"/>
                <w:szCs w:val="24"/>
                <w:highlight w:val="none"/>
              </w:rPr>
            </w:pPr>
          </w:p>
        </w:tc>
      </w:tr>
      <w:tr w14:paraId="3054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13B9F8D9">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F74A98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住院药房管理系统</w:t>
            </w:r>
          </w:p>
        </w:tc>
        <w:tc>
          <w:tcPr>
            <w:tcW w:w="913" w:type="pct"/>
            <w:vMerge w:val="continue"/>
            <w:tcBorders>
              <w:tl2br w:val="nil"/>
              <w:tr2bl w:val="nil"/>
            </w:tcBorders>
            <w:shd w:val="clear" w:color="auto" w:fill="auto"/>
            <w:noWrap/>
            <w:vAlign w:val="center"/>
          </w:tcPr>
          <w:p w14:paraId="1F9A343F">
            <w:pPr>
              <w:widowControl/>
              <w:spacing w:line="240" w:lineRule="auto"/>
              <w:jc w:val="left"/>
              <w:rPr>
                <w:rFonts w:hint="eastAsia" w:ascii="仿宋" w:hAnsi="仿宋" w:eastAsia="仿宋" w:cs="仿宋"/>
                <w:color w:val="auto"/>
                <w:kern w:val="0"/>
                <w:sz w:val="24"/>
                <w:szCs w:val="24"/>
                <w:highlight w:val="none"/>
              </w:rPr>
            </w:pPr>
          </w:p>
        </w:tc>
      </w:tr>
      <w:tr w14:paraId="0F5B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1B7346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74D17E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医保交易管理系统</w:t>
            </w:r>
          </w:p>
        </w:tc>
        <w:tc>
          <w:tcPr>
            <w:tcW w:w="913" w:type="pct"/>
            <w:vMerge w:val="continue"/>
            <w:tcBorders>
              <w:tl2br w:val="nil"/>
              <w:tr2bl w:val="nil"/>
            </w:tcBorders>
            <w:shd w:val="clear" w:color="auto" w:fill="auto"/>
            <w:noWrap/>
            <w:vAlign w:val="center"/>
          </w:tcPr>
          <w:p w14:paraId="60409362">
            <w:pPr>
              <w:widowControl/>
              <w:spacing w:line="240" w:lineRule="auto"/>
              <w:jc w:val="left"/>
              <w:rPr>
                <w:rFonts w:hint="eastAsia" w:ascii="仿宋" w:hAnsi="仿宋" w:eastAsia="仿宋" w:cs="仿宋"/>
                <w:color w:val="auto"/>
                <w:kern w:val="0"/>
                <w:sz w:val="24"/>
                <w:szCs w:val="24"/>
                <w:highlight w:val="none"/>
              </w:rPr>
            </w:pPr>
          </w:p>
        </w:tc>
      </w:tr>
      <w:tr w14:paraId="5F4F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867F384">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309FB3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临床路径管理系统</w:t>
            </w:r>
          </w:p>
        </w:tc>
        <w:tc>
          <w:tcPr>
            <w:tcW w:w="913" w:type="pct"/>
            <w:vMerge w:val="continue"/>
            <w:tcBorders>
              <w:tl2br w:val="nil"/>
              <w:tr2bl w:val="nil"/>
            </w:tcBorders>
            <w:shd w:val="clear" w:color="auto" w:fill="auto"/>
            <w:noWrap/>
            <w:vAlign w:val="center"/>
          </w:tcPr>
          <w:p w14:paraId="477C7C83">
            <w:pPr>
              <w:widowControl/>
              <w:spacing w:line="240" w:lineRule="auto"/>
              <w:jc w:val="left"/>
              <w:rPr>
                <w:rFonts w:hint="eastAsia" w:ascii="仿宋" w:hAnsi="仿宋" w:eastAsia="仿宋" w:cs="仿宋"/>
                <w:color w:val="auto"/>
                <w:kern w:val="0"/>
                <w:sz w:val="24"/>
                <w:szCs w:val="24"/>
                <w:highlight w:val="none"/>
              </w:rPr>
            </w:pPr>
          </w:p>
        </w:tc>
      </w:tr>
      <w:tr w14:paraId="35BE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1EF93F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F3EACE2">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手术分级管理系统</w:t>
            </w:r>
          </w:p>
        </w:tc>
        <w:tc>
          <w:tcPr>
            <w:tcW w:w="913" w:type="pct"/>
            <w:vMerge w:val="continue"/>
            <w:tcBorders>
              <w:tl2br w:val="nil"/>
              <w:tr2bl w:val="nil"/>
            </w:tcBorders>
            <w:shd w:val="clear" w:color="auto" w:fill="auto"/>
            <w:noWrap/>
            <w:vAlign w:val="center"/>
          </w:tcPr>
          <w:p w14:paraId="09DA1085">
            <w:pPr>
              <w:widowControl/>
              <w:spacing w:line="240" w:lineRule="auto"/>
              <w:jc w:val="left"/>
              <w:rPr>
                <w:rFonts w:hint="eastAsia" w:ascii="仿宋" w:hAnsi="仿宋" w:eastAsia="仿宋" w:cs="仿宋"/>
                <w:color w:val="auto"/>
                <w:kern w:val="0"/>
                <w:sz w:val="24"/>
                <w:szCs w:val="24"/>
                <w:highlight w:val="none"/>
              </w:rPr>
            </w:pPr>
          </w:p>
        </w:tc>
      </w:tr>
      <w:tr w14:paraId="44AB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510C336">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8194B44">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抗生素分级管理系统</w:t>
            </w:r>
          </w:p>
        </w:tc>
        <w:tc>
          <w:tcPr>
            <w:tcW w:w="913" w:type="pct"/>
            <w:vMerge w:val="continue"/>
            <w:tcBorders>
              <w:tl2br w:val="nil"/>
              <w:tr2bl w:val="nil"/>
            </w:tcBorders>
            <w:shd w:val="clear" w:color="auto" w:fill="auto"/>
            <w:noWrap/>
            <w:vAlign w:val="center"/>
          </w:tcPr>
          <w:p w14:paraId="51046891">
            <w:pPr>
              <w:widowControl/>
              <w:spacing w:line="240" w:lineRule="auto"/>
              <w:jc w:val="left"/>
              <w:rPr>
                <w:rFonts w:hint="eastAsia" w:ascii="仿宋" w:hAnsi="仿宋" w:eastAsia="仿宋" w:cs="仿宋"/>
                <w:color w:val="auto"/>
                <w:kern w:val="0"/>
                <w:sz w:val="24"/>
                <w:szCs w:val="24"/>
                <w:highlight w:val="none"/>
              </w:rPr>
            </w:pPr>
          </w:p>
        </w:tc>
      </w:tr>
      <w:tr w14:paraId="70D3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CB726C8">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B3419F3">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病案管理与统计系统</w:t>
            </w:r>
          </w:p>
        </w:tc>
        <w:tc>
          <w:tcPr>
            <w:tcW w:w="913" w:type="pct"/>
            <w:vMerge w:val="continue"/>
            <w:tcBorders>
              <w:tl2br w:val="nil"/>
              <w:tr2bl w:val="nil"/>
            </w:tcBorders>
            <w:shd w:val="clear" w:color="auto" w:fill="auto"/>
            <w:noWrap/>
            <w:vAlign w:val="center"/>
          </w:tcPr>
          <w:p w14:paraId="64C68807">
            <w:pPr>
              <w:widowControl/>
              <w:spacing w:line="240" w:lineRule="auto"/>
              <w:jc w:val="left"/>
              <w:rPr>
                <w:rFonts w:hint="eastAsia" w:ascii="仿宋" w:hAnsi="仿宋" w:eastAsia="仿宋" w:cs="仿宋"/>
                <w:color w:val="auto"/>
                <w:kern w:val="0"/>
                <w:sz w:val="24"/>
                <w:szCs w:val="24"/>
                <w:highlight w:val="none"/>
              </w:rPr>
            </w:pPr>
          </w:p>
        </w:tc>
      </w:tr>
      <w:tr w14:paraId="290B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365C6348">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D161C2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电子病历质量控制系统</w:t>
            </w:r>
          </w:p>
        </w:tc>
        <w:tc>
          <w:tcPr>
            <w:tcW w:w="913" w:type="pct"/>
            <w:vMerge w:val="continue"/>
            <w:tcBorders>
              <w:tl2br w:val="nil"/>
              <w:tr2bl w:val="nil"/>
            </w:tcBorders>
            <w:shd w:val="clear" w:color="auto" w:fill="auto"/>
            <w:noWrap/>
            <w:vAlign w:val="center"/>
          </w:tcPr>
          <w:p w14:paraId="253BEE8E">
            <w:pPr>
              <w:widowControl/>
              <w:spacing w:line="240" w:lineRule="auto"/>
              <w:jc w:val="left"/>
              <w:rPr>
                <w:rFonts w:hint="eastAsia" w:ascii="仿宋" w:hAnsi="仿宋" w:eastAsia="仿宋" w:cs="仿宋"/>
                <w:color w:val="auto"/>
                <w:kern w:val="0"/>
                <w:sz w:val="24"/>
                <w:szCs w:val="24"/>
                <w:highlight w:val="none"/>
              </w:rPr>
            </w:pPr>
          </w:p>
        </w:tc>
      </w:tr>
      <w:tr w14:paraId="59E1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CADAFBA">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102C339">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院内会诊</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含MDT</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管理</w:t>
            </w:r>
          </w:p>
        </w:tc>
        <w:tc>
          <w:tcPr>
            <w:tcW w:w="913" w:type="pct"/>
            <w:vMerge w:val="continue"/>
            <w:tcBorders>
              <w:tl2br w:val="nil"/>
              <w:tr2bl w:val="nil"/>
            </w:tcBorders>
            <w:shd w:val="clear" w:color="auto" w:fill="auto"/>
            <w:noWrap/>
            <w:vAlign w:val="center"/>
          </w:tcPr>
          <w:p w14:paraId="2C0CB560">
            <w:pPr>
              <w:widowControl/>
              <w:spacing w:line="240" w:lineRule="auto"/>
              <w:jc w:val="left"/>
              <w:rPr>
                <w:rFonts w:hint="eastAsia" w:ascii="仿宋" w:hAnsi="仿宋" w:eastAsia="仿宋" w:cs="仿宋"/>
                <w:color w:val="auto"/>
                <w:kern w:val="0"/>
                <w:sz w:val="24"/>
                <w:szCs w:val="24"/>
                <w:highlight w:val="none"/>
              </w:rPr>
            </w:pPr>
          </w:p>
        </w:tc>
      </w:tr>
      <w:tr w14:paraId="2DF3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5D90F0C">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6CC9F95">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物价管理系统</w:t>
            </w:r>
          </w:p>
        </w:tc>
        <w:tc>
          <w:tcPr>
            <w:tcW w:w="913" w:type="pct"/>
            <w:vMerge w:val="continue"/>
            <w:tcBorders>
              <w:tl2br w:val="nil"/>
              <w:tr2bl w:val="nil"/>
            </w:tcBorders>
            <w:shd w:val="clear" w:color="auto" w:fill="auto"/>
            <w:noWrap/>
            <w:vAlign w:val="center"/>
          </w:tcPr>
          <w:p w14:paraId="04837EEA">
            <w:pPr>
              <w:widowControl/>
              <w:spacing w:line="240" w:lineRule="auto"/>
              <w:jc w:val="left"/>
              <w:rPr>
                <w:rFonts w:hint="eastAsia" w:ascii="仿宋" w:hAnsi="仿宋" w:eastAsia="仿宋" w:cs="仿宋"/>
                <w:color w:val="auto"/>
                <w:kern w:val="0"/>
                <w:sz w:val="24"/>
                <w:szCs w:val="24"/>
                <w:highlight w:val="none"/>
              </w:rPr>
            </w:pPr>
          </w:p>
        </w:tc>
      </w:tr>
      <w:tr w14:paraId="3263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357166F">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B37D498">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急诊信息系统</w:t>
            </w:r>
          </w:p>
        </w:tc>
        <w:tc>
          <w:tcPr>
            <w:tcW w:w="913" w:type="pct"/>
            <w:vMerge w:val="continue"/>
            <w:tcBorders>
              <w:tl2br w:val="nil"/>
              <w:tr2bl w:val="nil"/>
            </w:tcBorders>
            <w:shd w:val="clear" w:color="auto" w:fill="auto"/>
            <w:noWrap/>
            <w:vAlign w:val="center"/>
          </w:tcPr>
          <w:p w14:paraId="6769B660">
            <w:pPr>
              <w:widowControl/>
              <w:spacing w:line="240" w:lineRule="auto"/>
              <w:jc w:val="left"/>
              <w:rPr>
                <w:rFonts w:hint="eastAsia" w:ascii="仿宋" w:hAnsi="仿宋" w:eastAsia="仿宋" w:cs="仿宋"/>
                <w:color w:val="auto"/>
                <w:kern w:val="0"/>
                <w:sz w:val="24"/>
                <w:szCs w:val="24"/>
                <w:highlight w:val="none"/>
                <w:lang w:val="en-US" w:eastAsia="zh-CN"/>
              </w:rPr>
            </w:pPr>
          </w:p>
        </w:tc>
      </w:tr>
      <w:tr w14:paraId="4F12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30AAF144">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A00641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卡/码管理</w:t>
            </w:r>
            <w:r>
              <w:rPr>
                <w:rFonts w:hint="eastAsia" w:ascii="仿宋" w:hAnsi="仿宋" w:eastAsia="仿宋" w:cs="仿宋"/>
                <w:color w:val="auto"/>
                <w:sz w:val="24"/>
                <w:szCs w:val="24"/>
                <w:highlight w:val="none"/>
              </w:rPr>
              <w:t>系统</w:t>
            </w:r>
          </w:p>
        </w:tc>
        <w:tc>
          <w:tcPr>
            <w:tcW w:w="913" w:type="pct"/>
            <w:vMerge w:val="continue"/>
            <w:tcBorders>
              <w:tl2br w:val="nil"/>
              <w:tr2bl w:val="nil"/>
            </w:tcBorders>
            <w:shd w:val="clear" w:color="auto" w:fill="auto"/>
            <w:noWrap/>
            <w:vAlign w:val="center"/>
          </w:tcPr>
          <w:p w14:paraId="08BF1FC8">
            <w:pPr>
              <w:widowControl/>
              <w:spacing w:line="240" w:lineRule="auto"/>
              <w:jc w:val="left"/>
              <w:rPr>
                <w:rFonts w:hint="eastAsia" w:ascii="仿宋" w:hAnsi="仿宋" w:eastAsia="仿宋" w:cs="仿宋"/>
                <w:color w:val="auto"/>
                <w:sz w:val="24"/>
                <w:szCs w:val="24"/>
                <w:highlight w:val="none"/>
                <w:lang w:val="en-US" w:eastAsia="zh-CN"/>
              </w:rPr>
            </w:pPr>
          </w:p>
        </w:tc>
      </w:tr>
      <w:tr w14:paraId="0313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35712166">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9A67A5C">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药物临床试验(GCP)管理系统</w:t>
            </w:r>
          </w:p>
        </w:tc>
        <w:tc>
          <w:tcPr>
            <w:tcW w:w="913" w:type="pct"/>
            <w:vMerge w:val="continue"/>
            <w:tcBorders>
              <w:tl2br w:val="nil"/>
              <w:tr2bl w:val="nil"/>
            </w:tcBorders>
            <w:shd w:val="clear" w:color="auto" w:fill="auto"/>
            <w:noWrap/>
            <w:vAlign w:val="center"/>
          </w:tcPr>
          <w:p w14:paraId="2D625FEA">
            <w:pPr>
              <w:widowControl/>
              <w:spacing w:line="240" w:lineRule="auto"/>
              <w:jc w:val="left"/>
              <w:rPr>
                <w:rFonts w:hint="eastAsia" w:ascii="仿宋" w:hAnsi="仿宋" w:eastAsia="仿宋" w:cs="仿宋"/>
                <w:color w:val="auto"/>
                <w:kern w:val="0"/>
                <w:sz w:val="24"/>
                <w:szCs w:val="24"/>
                <w:highlight w:val="none"/>
                <w:lang w:val="en-US" w:eastAsia="zh-CN"/>
              </w:rPr>
            </w:pPr>
          </w:p>
        </w:tc>
      </w:tr>
      <w:tr w14:paraId="78B2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527966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33578F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转诊系统</w:t>
            </w:r>
          </w:p>
        </w:tc>
        <w:tc>
          <w:tcPr>
            <w:tcW w:w="913" w:type="pct"/>
            <w:vMerge w:val="continue"/>
            <w:tcBorders>
              <w:tl2br w:val="nil"/>
              <w:tr2bl w:val="nil"/>
            </w:tcBorders>
            <w:shd w:val="clear" w:color="auto" w:fill="auto"/>
            <w:noWrap/>
            <w:vAlign w:val="center"/>
          </w:tcPr>
          <w:p w14:paraId="631890B5">
            <w:pPr>
              <w:widowControl/>
              <w:spacing w:line="240" w:lineRule="auto"/>
              <w:jc w:val="left"/>
              <w:rPr>
                <w:rFonts w:hint="eastAsia" w:ascii="仿宋" w:hAnsi="仿宋" w:eastAsia="仿宋" w:cs="仿宋"/>
                <w:color w:val="auto"/>
                <w:kern w:val="0"/>
                <w:sz w:val="24"/>
                <w:szCs w:val="24"/>
                <w:highlight w:val="none"/>
                <w:lang w:val="en-US" w:eastAsia="zh-CN"/>
              </w:rPr>
            </w:pPr>
          </w:p>
        </w:tc>
      </w:tr>
      <w:tr w14:paraId="5151B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noWrap/>
            <w:vAlign w:val="center"/>
          </w:tcPr>
          <w:p w14:paraId="659E719C">
            <w:pPr>
              <w:widowControl/>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集团化医院集成平台</w:t>
            </w:r>
          </w:p>
        </w:tc>
        <w:tc>
          <w:tcPr>
            <w:tcW w:w="3095" w:type="pct"/>
            <w:tcBorders>
              <w:tl2br w:val="nil"/>
              <w:tr2bl w:val="nil"/>
            </w:tcBorders>
            <w:shd w:val="clear" w:color="auto" w:fill="auto"/>
            <w:vAlign w:val="center"/>
          </w:tcPr>
          <w:p w14:paraId="4FB1D102">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集团化医院服务总线平台</w:t>
            </w:r>
          </w:p>
        </w:tc>
        <w:tc>
          <w:tcPr>
            <w:tcW w:w="913" w:type="pct"/>
            <w:vMerge w:val="restart"/>
            <w:tcBorders>
              <w:tl2br w:val="nil"/>
              <w:tr2bl w:val="nil"/>
            </w:tcBorders>
            <w:shd w:val="clear" w:color="auto" w:fill="auto"/>
            <w:vAlign w:val="center"/>
          </w:tcPr>
          <w:p w14:paraId="0F80F69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7854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22E94B6">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000000" w:fill="FFFFFF"/>
            <w:vAlign w:val="center"/>
          </w:tcPr>
          <w:p w14:paraId="4B99E2C7">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互联互通业务交换组件</w:t>
            </w:r>
          </w:p>
        </w:tc>
        <w:tc>
          <w:tcPr>
            <w:tcW w:w="913" w:type="pct"/>
            <w:vMerge w:val="continue"/>
            <w:tcBorders>
              <w:tl2br w:val="nil"/>
              <w:tr2bl w:val="nil"/>
            </w:tcBorders>
            <w:shd w:val="clear" w:color="000000" w:fill="FFFFFF"/>
            <w:vAlign w:val="center"/>
          </w:tcPr>
          <w:p w14:paraId="2D0F714B">
            <w:pPr>
              <w:widowControl/>
              <w:spacing w:line="240" w:lineRule="auto"/>
              <w:jc w:val="left"/>
              <w:rPr>
                <w:rFonts w:hint="eastAsia" w:ascii="仿宋" w:hAnsi="仿宋" w:eastAsia="仿宋" w:cs="仿宋"/>
                <w:color w:val="auto"/>
                <w:kern w:val="0"/>
                <w:sz w:val="24"/>
                <w:szCs w:val="24"/>
                <w:highlight w:val="none"/>
              </w:rPr>
            </w:pPr>
          </w:p>
        </w:tc>
      </w:tr>
      <w:tr w14:paraId="7512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65D6504">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49D0ED5">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医院决策支持系统</w:t>
            </w:r>
            <w:r>
              <w:rPr>
                <w:rFonts w:hint="eastAsia" w:ascii="仿宋" w:hAnsi="仿宋" w:eastAsia="仿宋" w:cs="仿宋"/>
                <w:color w:val="auto"/>
                <w:kern w:val="0"/>
                <w:sz w:val="24"/>
                <w:szCs w:val="24"/>
                <w:highlight w:val="none"/>
                <w:lang w:val="en-US" w:eastAsia="zh-CN"/>
              </w:rPr>
              <w:t>(BI)</w:t>
            </w:r>
          </w:p>
        </w:tc>
        <w:tc>
          <w:tcPr>
            <w:tcW w:w="913" w:type="pct"/>
            <w:vMerge w:val="continue"/>
            <w:tcBorders>
              <w:tl2br w:val="nil"/>
              <w:tr2bl w:val="nil"/>
            </w:tcBorders>
            <w:shd w:val="clear" w:color="auto" w:fill="auto"/>
            <w:noWrap/>
            <w:vAlign w:val="center"/>
          </w:tcPr>
          <w:p w14:paraId="73EE211C">
            <w:pPr>
              <w:widowControl/>
              <w:spacing w:line="240" w:lineRule="auto"/>
              <w:jc w:val="left"/>
              <w:rPr>
                <w:rFonts w:hint="eastAsia" w:ascii="仿宋" w:hAnsi="仿宋" w:eastAsia="仿宋" w:cs="仿宋"/>
                <w:color w:val="auto"/>
                <w:kern w:val="0"/>
                <w:sz w:val="24"/>
                <w:szCs w:val="24"/>
                <w:highlight w:val="none"/>
              </w:rPr>
            </w:pPr>
          </w:p>
        </w:tc>
      </w:tr>
      <w:tr w14:paraId="3D1F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95FBB4C">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1028EEA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单点登录</w:t>
            </w:r>
          </w:p>
        </w:tc>
        <w:tc>
          <w:tcPr>
            <w:tcW w:w="913" w:type="pct"/>
            <w:vMerge w:val="continue"/>
            <w:tcBorders>
              <w:tl2br w:val="nil"/>
              <w:tr2bl w:val="nil"/>
            </w:tcBorders>
            <w:shd w:val="clear" w:color="auto" w:fill="auto"/>
            <w:noWrap/>
            <w:vAlign w:val="center"/>
          </w:tcPr>
          <w:p w14:paraId="113FADEE">
            <w:pPr>
              <w:widowControl/>
              <w:spacing w:line="240" w:lineRule="auto"/>
              <w:jc w:val="left"/>
              <w:rPr>
                <w:rFonts w:hint="eastAsia" w:ascii="仿宋" w:hAnsi="仿宋" w:eastAsia="仿宋" w:cs="仿宋"/>
                <w:color w:val="auto"/>
                <w:kern w:val="0"/>
                <w:sz w:val="24"/>
                <w:szCs w:val="24"/>
                <w:highlight w:val="none"/>
              </w:rPr>
            </w:pPr>
          </w:p>
        </w:tc>
      </w:tr>
      <w:tr w14:paraId="1FBC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2D15C65">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C2519B8">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数据ETL管理</w:t>
            </w:r>
          </w:p>
        </w:tc>
        <w:tc>
          <w:tcPr>
            <w:tcW w:w="913" w:type="pct"/>
            <w:vMerge w:val="continue"/>
            <w:tcBorders>
              <w:tl2br w:val="nil"/>
              <w:tr2bl w:val="nil"/>
            </w:tcBorders>
            <w:shd w:val="clear" w:color="auto" w:fill="auto"/>
            <w:noWrap/>
            <w:vAlign w:val="center"/>
          </w:tcPr>
          <w:p w14:paraId="62B79CC0">
            <w:pPr>
              <w:widowControl/>
              <w:spacing w:line="240" w:lineRule="auto"/>
              <w:jc w:val="left"/>
              <w:rPr>
                <w:rFonts w:hint="eastAsia" w:ascii="仿宋" w:hAnsi="仿宋" w:eastAsia="仿宋" w:cs="仿宋"/>
                <w:color w:val="auto"/>
                <w:kern w:val="0"/>
                <w:sz w:val="24"/>
                <w:szCs w:val="24"/>
                <w:highlight w:val="none"/>
              </w:rPr>
            </w:pPr>
          </w:p>
        </w:tc>
      </w:tr>
      <w:tr w14:paraId="1073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620F601">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225BC76">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主数据管理</w:t>
            </w:r>
          </w:p>
        </w:tc>
        <w:tc>
          <w:tcPr>
            <w:tcW w:w="913" w:type="pct"/>
            <w:vMerge w:val="continue"/>
            <w:tcBorders>
              <w:tl2br w:val="nil"/>
              <w:tr2bl w:val="nil"/>
            </w:tcBorders>
            <w:shd w:val="clear" w:color="auto" w:fill="auto"/>
            <w:noWrap/>
            <w:vAlign w:val="center"/>
          </w:tcPr>
          <w:p w14:paraId="536001A5">
            <w:pPr>
              <w:widowControl/>
              <w:spacing w:line="240" w:lineRule="auto"/>
              <w:jc w:val="left"/>
              <w:rPr>
                <w:rFonts w:hint="eastAsia" w:ascii="仿宋" w:hAnsi="仿宋" w:eastAsia="仿宋" w:cs="仿宋"/>
                <w:color w:val="auto"/>
                <w:kern w:val="0"/>
                <w:sz w:val="24"/>
                <w:szCs w:val="24"/>
                <w:highlight w:val="none"/>
              </w:rPr>
            </w:pPr>
          </w:p>
        </w:tc>
      </w:tr>
      <w:tr w14:paraId="690B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53C66A38">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FAAE36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术语管理</w:t>
            </w:r>
          </w:p>
        </w:tc>
        <w:tc>
          <w:tcPr>
            <w:tcW w:w="913" w:type="pct"/>
            <w:vMerge w:val="continue"/>
            <w:tcBorders>
              <w:tl2br w:val="nil"/>
              <w:tr2bl w:val="nil"/>
            </w:tcBorders>
            <w:shd w:val="clear" w:color="auto" w:fill="auto"/>
            <w:noWrap/>
            <w:vAlign w:val="center"/>
          </w:tcPr>
          <w:p w14:paraId="756B9802">
            <w:pPr>
              <w:widowControl/>
              <w:spacing w:line="240" w:lineRule="auto"/>
              <w:jc w:val="left"/>
              <w:rPr>
                <w:rFonts w:hint="eastAsia" w:ascii="仿宋" w:hAnsi="仿宋" w:eastAsia="仿宋" w:cs="仿宋"/>
                <w:color w:val="auto"/>
                <w:kern w:val="0"/>
                <w:sz w:val="24"/>
                <w:szCs w:val="24"/>
                <w:highlight w:val="none"/>
              </w:rPr>
            </w:pPr>
          </w:p>
        </w:tc>
      </w:tr>
      <w:tr w14:paraId="157C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F05DF8E">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17152BE">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患者主索引管理</w:t>
            </w:r>
          </w:p>
        </w:tc>
        <w:tc>
          <w:tcPr>
            <w:tcW w:w="913" w:type="pct"/>
            <w:vMerge w:val="continue"/>
            <w:tcBorders>
              <w:tl2br w:val="nil"/>
              <w:tr2bl w:val="nil"/>
            </w:tcBorders>
            <w:shd w:val="clear" w:color="auto" w:fill="auto"/>
            <w:noWrap/>
            <w:vAlign w:val="center"/>
          </w:tcPr>
          <w:p w14:paraId="2B636B68">
            <w:pPr>
              <w:widowControl/>
              <w:spacing w:line="240" w:lineRule="auto"/>
              <w:jc w:val="left"/>
              <w:rPr>
                <w:rFonts w:hint="eastAsia" w:ascii="仿宋" w:hAnsi="仿宋" w:eastAsia="仿宋" w:cs="仿宋"/>
                <w:color w:val="auto"/>
                <w:kern w:val="0"/>
                <w:sz w:val="24"/>
                <w:szCs w:val="24"/>
                <w:highlight w:val="none"/>
              </w:rPr>
            </w:pPr>
          </w:p>
        </w:tc>
      </w:tr>
      <w:tr w14:paraId="0D4F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7660746">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43CB84E">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数据脱敏配置管理</w:t>
            </w:r>
          </w:p>
        </w:tc>
        <w:tc>
          <w:tcPr>
            <w:tcW w:w="913" w:type="pct"/>
            <w:vMerge w:val="continue"/>
            <w:tcBorders>
              <w:tl2br w:val="nil"/>
              <w:tr2bl w:val="nil"/>
            </w:tcBorders>
            <w:shd w:val="clear" w:color="auto" w:fill="auto"/>
            <w:noWrap/>
            <w:vAlign w:val="center"/>
          </w:tcPr>
          <w:p w14:paraId="6FAF0E76">
            <w:pPr>
              <w:widowControl/>
              <w:spacing w:line="240" w:lineRule="auto"/>
              <w:jc w:val="left"/>
              <w:rPr>
                <w:rFonts w:hint="eastAsia" w:ascii="仿宋" w:hAnsi="仿宋" w:eastAsia="仿宋" w:cs="仿宋"/>
                <w:color w:val="auto"/>
                <w:kern w:val="0"/>
                <w:sz w:val="24"/>
                <w:szCs w:val="24"/>
                <w:highlight w:val="none"/>
              </w:rPr>
            </w:pPr>
          </w:p>
        </w:tc>
      </w:tr>
      <w:tr w14:paraId="1E44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C2B7247">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FA84772">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临床信息数据库CDR</w:t>
            </w:r>
          </w:p>
        </w:tc>
        <w:tc>
          <w:tcPr>
            <w:tcW w:w="913" w:type="pct"/>
            <w:vMerge w:val="continue"/>
            <w:tcBorders>
              <w:tl2br w:val="nil"/>
              <w:tr2bl w:val="nil"/>
            </w:tcBorders>
            <w:shd w:val="clear" w:color="auto" w:fill="auto"/>
            <w:noWrap/>
            <w:vAlign w:val="center"/>
          </w:tcPr>
          <w:p w14:paraId="20CB9FB4">
            <w:pPr>
              <w:widowControl/>
              <w:spacing w:line="240" w:lineRule="auto"/>
              <w:jc w:val="left"/>
              <w:rPr>
                <w:rFonts w:hint="eastAsia" w:ascii="仿宋" w:hAnsi="仿宋" w:eastAsia="仿宋" w:cs="仿宋"/>
                <w:color w:val="auto"/>
                <w:kern w:val="0"/>
                <w:sz w:val="24"/>
                <w:szCs w:val="24"/>
                <w:highlight w:val="none"/>
              </w:rPr>
            </w:pPr>
          </w:p>
        </w:tc>
      </w:tr>
      <w:tr w14:paraId="41C7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B517BAE">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181F51F">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运营信息数据库ODR</w:t>
            </w:r>
          </w:p>
        </w:tc>
        <w:tc>
          <w:tcPr>
            <w:tcW w:w="913" w:type="pct"/>
            <w:vMerge w:val="continue"/>
            <w:tcBorders>
              <w:tl2br w:val="nil"/>
              <w:tr2bl w:val="nil"/>
            </w:tcBorders>
            <w:shd w:val="clear" w:color="auto" w:fill="auto"/>
            <w:noWrap/>
            <w:vAlign w:val="center"/>
          </w:tcPr>
          <w:p w14:paraId="3BFA5E53">
            <w:pPr>
              <w:widowControl/>
              <w:spacing w:line="240" w:lineRule="auto"/>
              <w:jc w:val="left"/>
              <w:rPr>
                <w:rFonts w:hint="eastAsia" w:ascii="仿宋" w:hAnsi="仿宋" w:eastAsia="仿宋" w:cs="仿宋"/>
                <w:color w:val="auto"/>
                <w:kern w:val="0"/>
                <w:sz w:val="24"/>
                <w:szCs w:val="24"/>
                <w:highlight w:val="none"/>
              </w:rPr>
            </w:pPr>
          </w:p>
        </w:tc>
      </w:tr>
      <w:tr w14:paraId="10AC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73F744E1">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8FD2B1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数据治理</w:t>
            </w:r>
          </w:p>
        </w:tc>
        <w:tc>
          <w:tcPr>
            <w:tcW w:w="913" w:type="pct"/>
            <w:vMerge w:val="continue"/>
            <w:tcBorders>
              <w:tl2br w:val="nil"/>
              <w:tr2bl w:val="nil"/>
            </w:tcBorders>
            <w:shd w:val="clear" w:color="auto" w:fill="auto"/>
            <w:noWrap/>
            <w:vAlign w:val="center"/>
          </w:tcPr>
          <w:p w14:paraId="0DFF8DC8">
            <w:pPr>
              <w:widowControl/>
              <w:spacing w:line="240" w:lineRule="auto"/>
              <w:jc w:val="left"/>
              <w:rPr>
                <w:rFonts w:hint="eastAsia" w:ascii="仿宋" w:hAnsi="仿宋" w:eastAsia="仿宋" w:cs="仿宋"/>
                <w:color w:val="auto"/>
                <w:kern w:val="0"/>
                <w:sz w:val="24"/>
                <w:szCs w:val="24"/>
                <w:highlight w:val="none"/>
              </w:rPr>
            </w:pPr>
          </w:p>
        </w:tc>
      </w:tr>
      <w:tr w14:paraId="205A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7B8A342">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029F6F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电子病历共享文档库</w:t>
            </w:r>
          </w:p>
        </w:tc>
        <w:tc>
          <w:tcPr>
            <w:tcW w:w="913" w:type="pct"/>
            <w:vMerge w:val="continue"/>
            <w:tcBorders>
              <w:tl2br w:val="nil"/>
              <w:tr2bl w:val="nil"/>
            </w:tcBorders>
            <w:shd w:val="clear" w:color="auto" w:fill="auto"/>
            <w:noWrap/>
            <w:vAlign w:val="center"/>
          </w:tcPr>
          <w:p w14:paraId="6EEEA693">
            <w:pPr>
              <w:widowControl/>
              <w:spacing w:line="240" w:lineRule="auto"/>
              <w:jc w:val="left"/>
              <w:rPr>
                <w:rFonts w:hint="eastAsia" w:ascii="仿宋" w:hAnsi="仿宋" w:eastAsia="仿宋" w:cs="仿宋"/>
                <w:color w:val="auto"/>
                <w:kern w:val="0"/>
                <w:sz w:val="24"/>
                <w:szCs w:val="24"/>
                <w:highlight w:val="none"/>
              </w:rPr>
            </w:pPr>
          </w:p>
        </w:tc>
      </w:tr>
      <w:tr w14:paraId="1E3F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5FA57E3">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2F1B001A">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患者360</w:t>
            </w:r>
            <w:r>
              <w:rPr>
                <w:rFonts w:hint="eastAsia" w:ascii="仿宋" w:hAnsi="仿宋" w:eastAsia="仿宋" w:cs="仿宋"/>
                <w:color w:val="auto"/>
                <w:kern w:val="0"/>
                <w:sz w:val="24"/>
                <w:szCs w:val="24"/>
                <w:highlight w:val="none"/>
                <w:lang w:val="en-US" w:eastAsia="zh-CN"/>
              </w:rPr>
              <w:t>视图</w:t>
            </w:r>
          </w:p>
        </w:tc>
        <w:tc>
          <w:tcPr>
            <w:tcW w:w="913" w:type="pct"/>
            <w:vMerge w:val="continue"/>
            <w:tcBorders>
              <w:tl2br w:val="nil"/>
              <w:tr2bl w:val="nil"/>
            </w:tcBorders>
            <w:shd w:val="clear" w:color="auto" w:fill="auto"/>
            <w:noWrap/>
            <w:vAlign w:val="center"/>
          </w:tcPr>
          <w:p w14:paraId="241F2D0C">
            <w:pPr>
              <w:widowControl/>
              <w:spacing w:line="240" w:lineRule="auto"/>
              <w:jc w:val="left"/>
              <w:rPr>
                <w:rFonts w:hint="eastAsia" w:ascii="仿宋" w:hAnsi="仿宋" w:eastAsia="仿宋" w:cs="仿宋"/>
                <w:color w:val="auto"/>
                <w:kern w:val="0"/>
                <w:sz w:val="24"/>
                <w:szCs w:val="24"/>
                <w:highlight w:val="none"/>
              </w:rPr>
            </w:pPr>
          </w:p>
        </w:tc>
      </w:tr>
      <w:tr w14:paraId="3F05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E229157">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DB9655E">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危急值管理系统</w:t>
            </w:r>
          </w:p>
        </w:tc>
        <w:tc>
          <w:tcPr>
            <w:tcW w:w="913" w:type="pct"/>
            <w:vMerge w:val="continue"/>
            <w:tcBorders>
              <w:tl2br w:val="nil"/>
              <w:tr2bl w:val="nil"/>
            </w:tcBorders>
            <w:shd w:val="clear" w:color="auto" w:fill="auto"/>
            <w:noWrap/>
            <w:vAlign w:val="center"/>
          </w:tcPr>
          <w:p w14:paraId="2D1DE6A4">
            <w:pPr>
              <w:widowControl/>
              <w:spacing w:line="240" w:lineRule="auto"/>
              <w:jc w:val="left"/>
              <w:rPr>
                <w:rFonts w:hint="eastAsia" w:ascii="仿宋" w:hAnsi="仿宋" w:eastAsia="仿宋" w:cs="仿宋"/>
                <w:color w:val="auto"/>
                <w:kern w:val="0"/>
                <w:sz w:val="24"/>
                <w:szCs w:val="24"/>
                <w:highlight w:val="none"/>
              </w:rPr>
            </w:pPr>
          </w:p>
        </w:tc>
      </w:tr>
      <w:tr w14:paraId="2435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7E140E0">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C9A588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闭环管理</w:t>
            </w:r>
          </w:p>
        </w:tc>
        <w:tc>
          <w:tcPr>
            <w:tcW w:w="913" w:type="pct"/>
            <w:vMerge w:val="continue"/>
            <w:tcBorders>
              <w:tl2br w:val="nil"/>
              <w:tr2bl w:val="nil"/>
            </w:tcBorders>
            <w:shd w:val="clear" w:color="auto" w:fill="auto"/>
            <w:noWrap/>
            <w:vAlign w:val="center"/>
          </w:tcPr>
          <w:p w14:paraId="6EBE99C4">
            <w:pPr>
              <w:widowControl/>
              <w:spacing w:line="240" w:lineRule="auto"/>
              <w:jc w:val="left"/>
              <w:rPr>
                <w:rFonts w:hint="eastAsia" w:ascii="仿宋" w:hAnsi="仿宋" w:eastAsia="仿宋" w:cs="仿宋"/>
                <w:color w:val="auto"/>
                <w:kern w:val="0"/>
                <w:sz w:val="24"/>
                <w:szCs w:val="24"/>
                <w:highlight w:val="none"/>
              </w:rPr>
            </w:pPr>
          </w:p>
        </w:tc>
      </w:tr>
      <w:tr w14:paraId="1CCB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0C94E62">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34AA07C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统一消息管理平台</w:t>
            </w:r>
          </w:p>
        </w:tc>
        <w:tc>
          <w:tcPr>
            <w:tcW w:w="913" w:type="pct"/>
            <w:vMerge w:val="continue"/>
            <w:tcBorders>
              <w:tl2br w:val="nil"/>
              <w:tr2bl w:val="nil"/>
            </w:tcBorders>
            <w:shd w:val="clear" w:color="auto" w:fill="auto"/>
            <w:noWrap/>
            <w:vAlign w:val="center"/>
          </w:tcPr>
          <w:p w14:paraId="6D950126">
            <w:pPr>
              <w:widowControl/>
              <w:spacing w:line="240" w:lineRule="auto"/>
              <w:jc w:val="left"/>
              <w:rPr>
                <w:rFonts w:hint="eastAsia" w:ascii="仿宋" w:hAnsi="仿宋" w:eastAsia="仿宋" w:cs="仿宋"/>
                <w:color w:val="auto"/>
                <w:kern w:val="0"/>
                <w:sz w:val="24"/>
                <w:szCs w:val="24"/>
                <w:highlight w:val="none"/>
                <w:lang w:val="en-US" w:eastAsia="zh-CN"/>
              </w:rPr>
            </w:pPr>
          </w:p>
        </w:tc>
      </w:tr>
      <w:tr w14:paraId="6C61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2388CEDC">
            <w:pPr>
              <w:widowControl/>
              <w:spacing w:line="24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临床决策支持系统</w:t>
            </w:r>
          </w:p>
          <w:p w14:paraId="2CCCD53F">
            <w:pPr>
              <w:widowControl/>
              <w:spacing w:line="24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（CDSS）</w:t>
            </w:r>
          </w:p>
        </w:tc>
        <w:tc>
          <w:tcPr>
            <w:tcW w:w="3095" w:type="pct"/>
            <w:tcBorders>
              <w:tl2br w:val="nil"/>
              <w:tr2bl w:val="nil"/>
            </w:tcBorders>
            <w:shd w:val="clear" w:color="auto" w:fill="auto"/>
            <w:noWrap/>
            <w:vAlign w:val="center"/>
          </w:tcPr>
          <w:p w14:paraId="3B44E3F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统一知识库管理</w:t>
            </w:r>
          </w:p>
        </w:tc>
        <w:tc>
          <w:tcPr>
            <w:tcW w:w="913" w:type="pct"/>
            <w:vMerge w:val="restart"/>
            <w:tcBorders>
              <w:tl2br w:val="nil"/>
              <w:tr2bl w:val="nil"/>
            </w:tcBorders>
            <w:shd w:val="clear" w:color="auto" w:fill="auto"/>
            <w:noWrap/>
            <w:vAlign w:val="center"/>
          </w:tcPr>
          <w:p w14:paraId="4D988627">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6F28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73035814">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0AFEB1C">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用药质控提醒</w:t>
            </w:r>
          </w:p>
        </w:tc>
        <w:tc>
          <w:tcPr>
            <w:tcW w:w="913" w:type="pct"/>
            <w:vMerge w:val="continue"/>
            <w:tcBorders>
              <w:tl2br w:val="nil"/>
              <w:tr2bl w:val="nil"/>
            </w:tcBorders>
            <w:shd w:val="clear" w:color="auto" w:fill="auto"/>
            <w:noWrap/>
            <w:vAlign w:val="center"/>
          </w:tcPr>
          <w:p w14:paraId="71AA9C8F">
            <w:pPr>
              <w:widowControl/>
              <w:spacing w:line="240" w:lineRule="auto"/>
              <w:jc w:val="left"/>
              <w:rPr>
                <w:rFonts w:hint="eastAsia" w:ascii="仿宋" w:hAnsi="仿宋" w:eastAsia="仿宋" w:cs="仿宋"/>
                <w:color w:val="auto"/>
                <w:kern w:val="0"/>
                <w:sz w:val="24"/>
                <w:szCs w:val="24"/>
                <w:highlight w:val="none"/>
              </w:rPr>
            </w:pPr>
          </w:p>
        </w:tc>
      </w:tr>
      <w:tr w14:paraId="72AD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1A7ADFC">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6F6CC2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检验质控提醒</w:t>
            </w:r>
          </w:p>
        </w:tc>
        <w:tc>
          <w:tcPr>
            <w:tcW w:w="913" w:type="pct"/>
            <w:vMerge w:val="continue"/>
            <w:tcBorders>
              <w:tl2br w:val="nil"/>
              <w:tr2bl w:val="nil"/>
            </w:tcBorders>
            <w:shd w:val="clear" w:color="auto" w:fill="auto"/>
            <w:noWrap/>
            <w:vAlign w:val="center"/>
          </w:tcPr>
          <w:p w14:paraId="796DAD0C">
            <w:pPr>
              <w:widowControl/>
              <w:spacing w:line="240" w:lineRule="auto"/>
              <w:jc w:val="left"/>
              <w:rPr>
                <w:rFonts w:hint="eastAsia" w:ascii="仿宋" w:hAnsi="仿宋" w:eastAsia="仿宋" w:cs="仿宋"/>
                <w:color w:val="auto"/>
                <w:kern w:val="0"/>
                <w:sz w:val="24"/>
                <w:szCs w:val="24"/>
                <w:highlight w:val="none"/>
              </w:rPr>
            </w:pPr>
          </w:p>
        </w:tc>
      </w:tr>
      <w:tr w14:paraId="1D11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3B7C53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7AD2BB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检查质控提醒</w:t>
            </w:r>
          </w:p>
        </w:tc>
        <w:tc>
          <w:tcPr>
            <w:tcW w:w="913" w:type="pct"/>
            <w:vMerge w:val="continue"/>
            <w:tcBorders>
              <w:tl2br w:val="nil"/>
              <w:tr2bl w:val="nil"/>
            </w:tcBorders>
            <w:shd w:val="clear" w:color="auto" w:fill="auto"/>
            <w:noWrap/>
            <w:vAlign w:val="center"/>
          </w:tcPr>
          <w:p w14:paraId="288F35D2">
            <w:pPr>
              <w:widowControl/>
              <w:spacing w:line="240" w:lineRule="auto"/>
              <w:jc w:val="left"/>
              <w:rPr>
                <w:rFonts w:hint="eastAsia" w:ascii="仿宋" w:hAnsi="仿宋" w:eastAsia="仿宋" w:cs="仿宋"/>
                <w:color w:val="auto"/>
                <w:kern w:val="0"/>
                <w:sz w:val="24"/>
                <w:szCs w:val="24"/>
                <w:highlight w:val="none"/>
              </w:rPr>
            </w:pPr>
          </w:p>
        </w:tc>
      </w:tr>
      <w:tr w14:paraId="1956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01C2B2FB">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2803187">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手术质控提醒</w:t>
            </w:r>
          </w:p>
        </w:tc>
        <w:tc>
          <w:tcPr>
            <w:tcW w:w="913" w:type="pct"/>
            <w:vMerge w:val="continue"/>
            <w:tcBorders>
              <w:tl2br w:val="nil"/>
              <w:tr2bl w:val="nil"/>
            </w:tcBorders>
            <w:shd w:val="clear" w:color="auto" w:fill="auto"/>
            <w:noWrap/>
            <w:vAlign w:val="center"/>
          </w:tcPr>
          <w:p w14:paraId="564E533F">
            <w:pPr>
              <w:widowControl/>
              <w:spacing w:line="240" w:lineRule="auto"/>
              <w:jc w:val="left"/>
              <w:rPr>
                <w:rFonts w:hint="eastAsia" w:ascii="仿宋" w:hAnsi="仿宋" w:eastAsia="仿宋" w:cs="仿宋"/>
                <w:color w:val="auto"/>
                <w:kern w:val="0"/>
                <w:sz w:val="24"/>
                <w:szCs w:val="24"/>
                <w:highlight w:val="none"/>
              </w:rPr>
            </w:pPr>
          </w:p>
        </w:tc>
      </w:tr>
      <w:tr w14:paraId="09B0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BE94C7F">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BE9D965">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诊断质控提醒</w:t>
            </w:r>
          </w:p>
        </w:tc>
        <w:tc>
          <w:tcPr>
            <w:tcW w:w="913" w:type="pct"/>
            <w:vMerge w:val="continue"/>
            <w:tcBorders>
              <w:tl2br w:val="nil"/>
              <w:tr2bl w:val="nil"/>
            </w:tcBorders>
            <w:shd w:val="clear" w:color="auto" w:fill="auto"/>
            <w:noWrap/>
            <w:vAlign w:val="center"/>
          </w:tcPr>
          <w:p w14:paraId="1935548C">
            <w:pPr>
              <w:widowControl/>
              <w:spacing w:line="240" w:lineRule="auto"/>
              <w:jc w:val="left"/>
              <w:rPr>
                <w:rFonts w:hint="eastAsia" w:ascii="仿宋" w:hAnsi="仿宋" w:eastAsia="仿宋" w:cs="仿宋"/>
                <w:color w:val="auto"/>
                <w:kern w:val="0"/>
                <w:sz w:val="24"/>
                <w:szCs w:val="24"/>
                <w:highlight w:val="none"/>
              </w:rPr>
            </w:pPr>
          </w:p>
        </w:tc>
      </w:tr>
      <w:tr w14:paraId="5732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FFDAD88">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73222206">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知识库应用</w:t>
            </w:r>
          </w:p>
        </w:tc>
        <w:tc>
          <w:tcPr>
            <w:tcW w:w="913" w:type="pct"/>
            <w:vMerge w:val="continue"/>
            <w:tcBorders>
              <w:tl2br w:val="nil"/>
              <w:tr2bl w:val="nil"/>
            </w:tcBorders>
            <w:shd w:val="clear" w:color="auto" w:fill="auto"/>
            <w:noWrap/>
            <w:vAlign w:val="center"/>
          </w:tcPr>
          <w:p w14:paraId="6383EBD4">
            <w:pPr>
              <w:widowControl/>
              <w:spacing w:line="240" w:lineRule="auto"/>
              <w:jc w:val="left"/>
              <w:rPr>
                <w:rFonts w:hint="eastAsia" w:ascii="仿宋" w:hAnsi="仿宋" w:eastAsia="仿宋" w:cs="仿宋"/>
                <w:color w:val="auto"/>
                <w:kern w:val="0"/>
                <w:sz w:val="24"/>
                <w:szCs w:val="24"/>
                <w:highlight w:val="none"/>
              </w:rPr>
            </w:pPr>
          </w:p>
        </w:tc>
      </w:tr>
      <w:tr w14:paraId="4A16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11BBB12">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6BC4E07A">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AI辅助决策</w:t>
            </w:r>
          </w:p>
        </w:tc>
        <w:tc>
          <w:tcPr>
            <w:tcW w:w="913" w:type="pct"/>
            <w:vMerge w:val="continue"/>
            <w:tcBorders>
              <w:tl2br w:val="nil"/>
              <w:tr2bl w:val="nil"/>
            </w:tcBorders>
            <w:shd w:val="clear" w:color="auto" w:fill="auto"/>
            <w:noWrap/>
            <w:vAlign w:val="center"/>
          </w:tcPr>
          <w:p w14:paraId="234A1E04">
            <w:pPr>
              <w:widowControl/>
              <w:spacing w:line="240" w:lineRule="auto"/>
              <w:jc w:val="left"/>
              <w:rPr>
                <w:rFonts w:hint="eastAsia" w:ascii="仿宋" w:hAnsi="仿宋" w:eastAsia="仿宋" w:cs="仿宋"/>
                <w:color w:val="auto"/>
                <w:kern w:val="0"/>
                <w:sz w:val="24"/>
                <w:szCs w:val="24"/>
                <w:highlight w:val="none"/>
                <w:lang w:val="en-US" w:eastAsia="zh-CN"/>
              </w:rPr>
            </w:pPr>
          </w:p>
        </w:tc>
      </w:tr>
      <w:tr w14:paraId="292C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noWrap/>
            <w:vAlign w:val="center"/>
          </w:tcPr>
          <w:p w14:paraId="1427FB17">
            <w:pPr>
              <w:widowControl/>
              <w:spacing w:line="24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全资源预约平台</w:t>
            </w:r>
          </w:p>
        </w:tc>
        <w:tc>
          <w:tcPr>
            <w:tcW w:w="3095" w:type="pct"/>
            <w:tcBorders>
              <w:tl2br w:val="nil"/>
              <w:tr2bl w:val="nil"/>
            </w:tcBorders>
            <w:shd w:val="clear" w:color="auto" w:fill="auto"/>
            <w:vAlign w:val="center"/>
          </w:tcPr>
          <w:p w14:paraId="43654FBB">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门诊</w:t>
            </w:r>
            <w:r>
              <w:rPr>
                <w:rFonts w:hint="eastAsia" w:ascii="仿宋" w:hAnsi="仿宋" w:eastAsia="仿宋" w:cs="仿宋"/>
                <w:color w:val="auto"/>
                <w:kern w:val="0"/>
                <w:sz w:val="24"/>
                <w:szCs w:val="24"/>
                <w:highlight w:val="none"/>
              </w:rPr>
              <w:t>挂号预约系统</w:t>
            </w:r>
          </w:p>
        </w:tc>
        <w:tc>
          <w:tcPr>
            <w:tcW w:w="913" w:type="pct"/>
            <w:vMerge w:val="restart"/>
            <w:tcBorders>
              <w:tl2br w:val="nil"/>
              <w:tr2bl w:val="nil"/>
            </w:tcBorders>
            <w:shd w:val="clear" w:color="auto" w:fill="auto"/>
            <w:vAlign w:val="center"/>
          </w:tcPr>
          <w:p w14:paraId="4C6B15E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2297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2CFB566A">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vAlign w:val="center"/>
          </w:tcPr>
          <w:p w14:paraId="3AAF5FF8">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检查</w:t>
            </w:r>
            <w:r>
              <w:rPr>
                <w:rFonts w:hint="eastAsia" w:ascii="仿宋" w:hAnsi="仿宋" w:eastAsia="仿宋" w:cs="仿宋"/>
                <w:color w:val="auto"/>
                <w:kern w:val="0"/>
                <w:sz w:val="24"/>
                <w:szCs w:val="24"/>
                <w:highlight w:val="none"/>
              </w:rPr>
              <w:t>预约系统</w:t>
            </w:r>
          </w:p>
        </w:tc>
        <w:tc>
          <w:tcPr>
            <w:tcW w:w="913" w:type="pct"/>
            <w:vMerge w:val="continue"/>
            <w:tcBorders>
              <w:tl2br w:val="nil"/>
              <w:tr2bl w:val="nil"/>
            </w:tcBorders>
            <w:shd w:val="clear" w:color="auto" w:fill="auto"/>
            <w:vAlign w:val="center"/>
          </w:tcPr>
          <w:p w14:paraId="0D075D00">
            <w:pPr>
              <w:widowControl/>
              <w:spacing w:line="240" w:lineRule="auto"/>
              <w:jc w:val="left"/>
              <w:rPr>
                <w:rFonts w:hint="eastAsia" w:ascii="仿宋" w:hAnsi="仿宋" w:eastAsia="仿宋" w:cs="仿宋"/>
                <w:color w:val="auto"/>
                <w:kern w:val="0"/>
                <w:sz w:val="24"/>
                <w:szCs w:val="24"/>
                <w:highlight w:val="none"/>
                <w:lang w:val="en-US" w:eastAsia="zh-CN"/>
              </w:rPr>
            </w:pPr>
          </w:p>
        </w:tc>
      </w:tr>
      <w:tr w14:paraId="680A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4C0D6D9F">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56DD21EE">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治疗</w:t>
            </w:r>
            <w:r>
              <w:rPr>
                <w:rFonts w:hint="eastAsia" w:ascii="仿宋" w:hAnsi="仿宋" w:eastAsia="仿宋" w:cs="仿宋"/>
                <w:color w:val="auto"/>
                <w:kern w:val="0"/>
                <w:sz w:val="24"/>
                <w:szCs w:val="24"/>
                <w:highlight w:val="none"/>
              </w:rPr>
              <w:t>预约系统</w:t>
            </w:r>
          </w:p>
        </w:tc>
        <w:tc>
          <w:tcPr>
            <w:tcW w:w="913" w:type="pct"/>
            <w:vMerge w:val="continue"/>
            <w:tcBorders>
              <w:tl2br w:val="nil"/>
              <w:tr2bl w:val="nil"/>
            </w:tcBorders>
            <w:shd w:val="clear" w:color="auto" w:fill="auto"/>
            <w:noWrap/>
            <w:vAlign w:val="center"/>
          </w:tcPr>
          <w:p w14:paraId="220626C1">
            <w:pPr>
              <w:widowControl/>
              <w:spacing w:line="240" w:lineRule="auto"/>
              <w:jc w:val="left"/>
              <w:rPr>
                <w:rFonts w:hint="eastAsia" w:ascii="仿宋" w:hAnsi="仿宋" w:eastAsia="仿宋" w:cs="仿宋"/>
                <w:color w:val="auto"/>
                <w:kern w:val="0"/>
                <w:sz w:val="24"/>
                <w:szCs w:val="24"/>
                <w:highlight w:val="none"/>
                <w:lang w:val="en-US" w:eastAsia="zh-CN"/>
              </w:rPr>
            </w:pPr>
          </w:p>
        </w:tc>
      </w:tr>
      <w:tr w14:paraId="2C44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vAlign w:val="center"/>
          </w:tcPr>
          <w:p w14:paraId="6B8152E4">
            <w:pPr>
              <w:widowControl/>
              <w:spacing w:line="240" w:lineRule="auto"/>
              <w:jc w:val="left"/>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D053B59">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其他预约</w:t>
            </w:r>
          </w:p>
        </w:tc>
        <w:tc>
          <w:tcPr>
            <w:tcW w:w="913" w:type="pct"/>
            <w:vMerge w:val="continue"/>
            <w:tcBorders>
              <w:tl2br w:val="nil"/>
              <w:tr2bl w:val="nil"/>
            </w:tcBorders>
            <w:shd w:val="clear" w:color="auto" w:fill="auto"/>
            <w:noWrap/>
            <w:vAlign w:val="center"/>
          </w:tcPr>
          <w:p w14:paraId="69F0C46C">
            <w:pPr>
              <w:widowControl/>
              <w:spacing w:line="240" w:lineRule="auto"/>
              <w:jc w:val="left"/>
              <w:rPr>
                <w:rFonts w:hint="eastAsia" w:ascii="仿宋" w:hAnsi="仿宋" w:eastAsia="仿宋" w:cs="仿宋"/>
                <w:color w:val="auto"/>
                <w:kern w:val="0"/>
                <w:sz w:val="24"/>
                <w:szCs w:val="24"/>
                <w:highlight w:val="none"/>
                <w:lang w:val="en-US" w:eastAsia="zh-CN"/>
              </w:rPr>
            </w:pPr>
          </w:p>
        </w:tc>
      </w:tr>
      <w:tr w14:paraId="7623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4BE2B4BB">
            <w:pPr>
              <w:widowControl/>
              <w:spacing w:line="24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医疗安全提升</w:t>
            </w:r>
          </w:p>
        </w:tc>
        <w:tc>
          <w:tcPr>
            <w:tcW w:w="3095" w:type="pct"/>
            <w:tcBorders>
              <w:tl2br w:val="nil"/>
              <w:tr2bl w:val="nil"/>
            </w:tcBorders>
            <w:shd w:val="clear" w:color="auto" w:fill="auto"/>
            <w:vAlign w:val="center"/>
          </w:tcPr>
          <w:p w14:paraId="2E17F8B2">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单病种系统</w:t>
            </w:r>
          </w:p>
        </w:tc>
        <w:tc>
          <w:tcPr>
            <w:tcW w:w="913" w:type="pct"/>
            <w:tcBorders>
              <w:tl2br w:val="nil"/>
              <w:tr2bl w:val="nil"/>
            </w:tcBorders>
            <w:shd w:val="clear" w:color="auto" w:fill="auto"/>
            <w:vAlign w:val="center"/>
          </w:tcPr>
          <w:p w14:paraId="1BAE6ACB">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1套</w:t>
            </w:r>
          </w:p>
        </w:tc>
      </w:tr>
      <w:tr w14:paraId="70DF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62846DC5">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vAlign w:val="center"/>
          </w:tcPr>
          <w:p w14:paraId="4524D285">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HQMS数据上报</w:t>
            </w:r>
          </w:p>
        </w:tc>
        <w:tc>
          <w:tcPr>
            <w:tcW w:w="913" w:type="pct"/>
            <w:tcBorders>
              <w:tl2br w:val="nil"/>
              <w:tr2bl w:val="nil"/>
            </w:tcBorders>
            <w:shd w:val="clear" w:color="auto" w:fill="auto"/>
            <w:vAlign w:val="center"/>
          </w:tcPr>
          <w:p w14:paraId="56D35FCA">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1套</w:t>
            </w:r>
          </w:p>
        </w:tc>
      </w:tr>
      <w:tr w14:paraId="0BE6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0FB3381D">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vAlign w:val="center"/>
          </w:tcPr>
          <w:p w14:paraId="444CB388">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传染病信息上报</w:t>
            </w:r>
          </w:p>
        </w:tc>
        <w:tc>
          <w:tcPr>
            <w:tcW w:w="913" w:type="pct"/>
            <w:tcBorders>
              <w:tl2br w:val="nil"/>
              <w:tr2bl w:val="nil"/>
            </w:tcBorders>
            <w:shd w:val="clear" w:color="auto" w:fill="auto"/>
            <w:vAlign w:val="center"/>
          </w:tcPr>
          <w:p w14:paraId="3C71622B">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1套</w:t>
            </w:r>
          </w:p>
        </w:tc>
      </w:tr>
      <w:tr w14:paraId="3C67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56417A7A">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vAlign w:val="center"/>
          </w:tcPr>
          <w:p w14:paraId="103C6BF0">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其他上报系统对接</w:t>
            </w:r>
          </w:p>
        </w:tc>
        <w:tc>
          <w:tcPr>
            <w:tcW w:w="913" w:type="pct"/>
            <w:tcBorders>
              <w:tl2br w:val="nil"/>
              <w:tr2bl w:val="nil"/>
            </w:tcBorders>
            <w:shd w:val="clear" w:color="auto" w:fill="auto"/>
            <w:vAlign w:val="center"/>
          </w:tcPr>
          <w:p w14:paraId="38472010">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522D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2F5288D0">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vAlign w:val="center"/>
          </w:tcPr>
          <w:p w14:paraId="411AA0FB">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VTE管理系统</w:t>
            </w:r>
          </w:p>
        </w:tc>
        <w:tc>
          <w:tcPr>
            <w:tcW w:w="913" w:type="pct"/>
            <w:tcBorders>
              <w:tl2br w:val="nil"/>
              <w:tr2bl w:val="nil"/>
            </w:tcBorders>
            <w:shd w:val="clear" w:color="auto" w:fill="auto"/>
            <w:vAlign w:val="center"/>
          </w:tcPr>
          <w:p w14:paraId="1A64833A">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1套</w:t>
            </w:r>
          </w:p>
        </w:tc>
      </w:tr>
      <w:tr w14:paraId="0EFA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695B7BD0">
            <w:pPr>
              <w:widowControl/>
              <w:spacing w:line="240" w:lineRule="auto"/>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center"/>
          </w:tcPr>
          <w:p w14:paraId="0CA35335">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康复管理系统</w:t>
            </w:r>
          </w:p>
        </w:tc>
        <w:tc>
          <w:tcPr>
            <w:tcW w:w="913" w:type="pct"/>
            <w:tcBorders>
              <w:tl2br w:val="nil"/>
              <w:tr2bl w:val="nil"/>
            </w:tcBorders>
            <w:shd w:val="clear" w:color="auto" w:fill="auto"/>
            <w:vAlign w:val="center"/>
          </w:tcPr>
          <w:p w14:paraId="3415F2FF">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1套</w:t>
            </w:r>
          </w:p>
        </w:tc>
      </w:tr>
      <w:tr w14:paraId="4B68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64B7EE2E">
            <w:pPr>
              <w:widowControl/>
              <w:spacing w:line="24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云影像平台</w:t>
            </w:r>
          </w:p>
        </w:tc>
        <w:tc>
          <w:tcPr>
            <w:tcW w:w="3095" w:type="pct"/>
            <w:tcBorders>
              <w:tl2br w:val="nil"/>
              <w:tr2bl w:val="nil"/>
            </w:tcBorders>
            <w:shd w:val="clear" w:color="auto" w:fill="auto"/>
            <w:vAlign w:val="center"/>
          </w:tcPr>
          <w:p w14:paraId="02A8EFF3">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云影像平台</w:t>
            </w:r>
          </w:p>
        </w:tc>
        <w:tc>
          <w:tcPr>
            <w:tcW w:w="913" w:type="pct"/>
            <w:tcBorders>
              <w:tl2br w:val="nil"/>
              <w:tr2bl w:val="nil"/>
            </w:tcBorders>
            <w:shd w:val="clear" w:color="auto" w:fill="auto"/>
            <w:vAlign w:val="center"/>
          </w:tcPr>
          <w:p w14:paraId="116F69C1">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1套</w:t>
            </w:r>
          </w:p>
        </w:tc>
      </w:tr>
      <w:tr w14:paraId="4947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3EF25E8C">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center"/>
          </w:tcPr>
          <w:p w14:paraId="792F344A">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云影像平台接口</w:t>
            </w:r>
          </w:p>
        </w:tc>
        <w:tc>
          <w:tcPr>
            <w:tcW w:w="913" w:type="pct"/>
            <w:tcBorders>
              <w:tl2br w:val="nil"/>
              <w:tr2bl w:val="nil"/>
            </w:tcBorders>
            <w:shd w:val="clear" w:color="auto" w:fill="auto"/>
            <w:vAlign w:val="center"/>
          </w:tcPr>
          <w:p w14:paraId="59B41B6B">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1套</w:t>
            </w:r>
          </w:p>
        </w:tc>
      </w:tr>
      <w:tr w14:paraId="1EEF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2531B5D9">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66627A67">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前置服务器</w:t>
            </w:r>
          </w:p>
        </w:tc>
        <w:tc>
          <w:tcPr>
            <w:tcW w:w="913" w:type="pct"/>
            <w:tcBorders>
              <w:tl2br w:val="nil"/>
              <w:tr2bl w:val="nil"/>
            </w:tcBorders>
            <w:shd w:val="clear" w:color="auto" w:fill="auto"/>
            <w:vAlign w:val="center"/>
          </w:tcPr>
          <w:p w14:paraId="0A2B1CC4">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1台</w:t>
            </w:r>
          </w:p>
        </w:tc>
      </w:tr>
      <w:tr w14:paraId="7E04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15B1D2E8">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25964A97">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云服务器</w:t>
            </w:r>
          </w:p>
        </w:tc>
        <w:tc>
          <w:tcPr>
            <w:tcW w:w="913" w:type="pct"/>
            <w:tcBorders>
              <w:tl2br w:val="nil"/>
              <w:tr2bl w:val="nil"/>
            </w:tcBorders>
            <w:shd w:val="clear" w:color="auto" w:fill="auto"/>
            <w:vAlign w:val="center"/>
          </w:tcPr>
          <w:p w14:paraId="49584ED5">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1台</w:t>
            </w:r>
          </w:p>
        </w:tc>
      </w:tr>
      <w:tr w14:paraId="17FC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432D039E">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530BF80F">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bidi="ar"/>
              </w:rPr>
              <w:t>云链路专线</w:t>
            </w:r>
          </w:p>
        </w:tc>
        <w:tc>
          <w:tcPr>
            <w:tcW w:w="913" w:type="pct"/>
            <w:tcBorders>
              <w:tl2br w:val="nil"/>
              <w:tr2bl w:val="nil"/>
            </w:tcBorders>
            <w:shd w:val="clear" w:color="auto" w:fill="auto"/>
            <w:vAlign w:val="center"/>
          </w:tcPr>
          <w:p w14:paraId="71DE0EE1">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2路</w:t>
            </w:r>
          </w:p>
        </w:tc>
      </w:tr>
      <w:tr w14:paraId="4BEB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295D45B7">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0F947ACB">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网闸</w:t>
            </w:r>
          </w:p>
        </w:tc>
        <w:tc>
          <w:tcPr>
            <w:tcW w:w="913" w:type="pct"/>
            <w:tcBorders>
              <w:tl2br w:val="nil"/>
              <w:tr2bl w:val="nil"/>
            </w:tcBorders>
            <w:shd w:val="clear" w:color="auto" w:fill="auto"/>
            <w:vAlign w:val="center"/>
          </w:tcPr>
          <w:p w14:paraId="12D9A682">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1台</w:t>
            </w:r>
          </w:p>
        </w:tc>
      </w:tr>
      <w:tr w14:paraId="6F8C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3BCD4F83">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67454335">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防火墙</w:t>
            </w:r>
          </w:p>
        </w:tc>
        <w:tc>
          <w:tcPr>
            <w:tcW w:w="913" w:type="pct"/>
            <w:tcBorders>
              <w:tl2br w:val="nil"/>
              <w:tr2bl w:val="nil"/>
            </w:tcBorders>
            <w:shd w:val="clear" w:color="auto" w:fill="auto"/>
            <w:vAlign w:val="center"/>
          </w:tcPr>
          <w:p w14:paraId="3769F5AE">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1台</w:t>
            </w:r>
          </w:p>
        </w:tc>
      </w:tr>
      <w:tr w14:paraId="5B8C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2C020986">
            <w:pPr>
              <w:widowControl/>
              <w:spacing w:line="240" w:lineRule="auto"/>
              <w:jc w:val="both"/>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vAlign w:val="top"/>
          </w:tcPr>
          <w:p w14:paraId="78B61C05">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云存储与云安全</w:t>
            </w:r>
          </w:p>
        </w:tc>
        <w:tc>
          <w:tcPr>
            <w:tcW w:w="913" w:type="pct"/>
            <w:tcBorders>
              <w:tl2br w:val="nil"/>
              <w:tr2bl w:val="nil"/>
            </w:tcBorders>
            <w:shd w:val="clear" w:color="auto" w:fill="auto"/>
            <w:vAlign w:val="center"/>
          </w:tcPr>
          <w:p w14:paraId="6FE9D1B3">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1套</w:t>
            </w:r>
          </w:p>
        </w:tc>
      </w:tr>
      <w:tr w14:paraId="4AAD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4834187D">
            <w:pPr>
              <w:widowControl/>
              <w:spacing w:line="240" w:lineRule="auto"/>
              <w:jc w:val="both"/>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医院相关考核/测评系统或服务</w:t>
            </w:r>
          </w:p>
        </w:tc>
        <w:tc>
          <w:tcPr>
            <w:tcW w:w="3095" w:type="pct"/>
            <w:tcBorders>
              <w:tl2br w:val="nil"/>
              <w:tr2bl w:val="nil"/>
            </w:tcBorders>
            <w:shd w:val="clear" w:color="auto" w:fill="auto"/>
            <w:vAlign w:val="center"/>
          </w:tcPr>
          <w:p w14:paraId="59FE47E5">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三级公立医院绩效考核</w:t>
            </w:r>
            <w:r>
              <w:rPr>
                <w:rFonts w:hint="eastAsia" w:ascii="仿宋" w:hAnsi="仿宋" w:eastAsia="仿宋" w:cs="仿宋"/>
                <w:color w:val="auto"/>
                <w:kern w:val="0"/>
                <w:sz w:val="24"/>
                <w:szCs w:val="24"/>
                <w:highlight w:val="none"/>
                <w:lang w:val="en-US" w:eastAsia="zh-CN"/>
              </w:rPr>
              <w:t>系统</w:t>
            </w:r>
          </w:p>
        </w:tc>
        <w:tc>
          <w:tcPr>
            <w:tcW w:w="913" w:type="pct"/>
            <w:tcBorders>
              <w:tl2br w:val="nil"/>
              <w:tr2bl w:val="nil"/>
            </w:tcBorders>
            <w:shd w:val="clear" w:color="auto" w:fill="auto"/>
            <w:vAlign w:val="center"/>
          </w:tcPr>
          <w:p w14:paraId="217B3258">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1项</w:t>
            </w:r>
          </w:p>
        </w:tc>
      </w:tr>
      <w:tr w14:paraId="1EC3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79708FA5">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02771939">
            <w:pPr>
              <w:widowControl/>
              <w:spacing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电子病历评级</w:t>
            </w:r>
            <w:r>
              <w:rPr>
                <w:rFonts w:hint="eastAsia" w:ascii="仿宋" w:hAnsi="仿宋" w:eastAsia="仿宋" w:cs="仿宋"/>
                <w:color w:val="auto"/>
                <w:kern w:val="0"/>
                <w:sz w:val="24"/>
                <w:szCs w:val="24"/>
                <w:highlight w:val="none"/>
                <w:lang w:val="en-US" w:eastAsia="zh-CN"/>
              </w:rPr>
              <w:t>服务</w:t>
            </w:r>
          </w:p>
        </w:tc>
        <w:tc>
          <w:tcPr>
            <w:tcW w:w="913" w:type="pct"/>
            <w:tcBorders>
              <w:tl2br w:val="nil"/>
              <w:tr2bl w:val="nil"/>
            </w:tcBorders>
            <w:shd w:val="clear" w:color="auto" w:fill="auto"/>
            <w:noWrap/>
            <w:vAlign w:val="center"/>
          </w:tcPr>
          <w:p w14:paraId="31BF7331">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1项</w:t>
            </w:r>
          </w:p>
        </w:tc>
      </w:tr>
      <w:tr w14:paraId="79D5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7DE90782">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19BF8D6">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互联互通评级</w:t>
            </w:r>
            <w:r>
              <w:rPr>
                <w:rFonts w:hint="eastAsia" w:ascii="仿宋" w:hAnsi="仿宋" w:eastAsia="仿宋" w:cs="仿宋"/>
                <w:color w:val="auto"/>
                <w:kern w:val="0"/>
                <w:sz w:val="24"/>
                <w:szCs w:val="24"/>
                <w:highlight w:val="none"/>
                <w:lang w:val="en-US" w:eastAsia="zh-CN"/>
              </w:rPr>
              <w:t>服务</w:t>
            </w:r>
          </w:p>
        </w:tc>
        <w:tc>
          <w:tcPr>
            <w:tcW w:w="913" w:type="pct"/>
            <w:tcBorders>
              <w:tl2br w:val="nil"/>
              <w:tr2bl w:val="nil"/>
            </w:tcBorders>
            <w:shd w:val="clear" w:color="auto" w:fill="auto"/>
            <w:noWrap/>
            <w:vAlign w:val="center"/>
          </w:tcPr>
          <w:p w14:paraId="0480CA5D">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1项</w:t>
            </w:r>
          </w:p>
        </w:tc>
      </w:tr>
      <w:tr w14:paraId="242B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20BEDE8D">
            <w:pPr>
              <w:widowControl/>
              <w:spacing w:line="240" w:lineRule="auto"/>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323560D0">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智慧医院评级服务</w:t>
            </w:r>
          </w:p>
        </w:tc>
        <w:tc>
          <w:tcPr>
            <w:tcW w:w="913" w:type="pct"/>
            <w:tcBorders>
              <w:tl2br w:val="nil"/>
              <w:tr2bl w:val="nil"/>
            </w:tcBorders>
            <w:shd w:val="clear" w:color="auto" w:fill="auto"/>
            <w:noWrap/>
            <w:vAlign w:val="center"/>
          </w:tcPr>
          <w:p w14:paraId="74B323FD">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1项</w:t>
            </w:r>
          </w:p>
        </w:tc>
      </w:tr>
      <w:tr w14:paraId="09C0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6FE070DE">
            <w:pPr>
              <w:widowControl/>
              <w:spacing w:line="360" w:lineRule="exact"/>
              <w:jc w:val="center"/>
              <w:rPr>
                <w:rFonts w:hint="eastAsia" w:ascii="仿宋" w:hAnsi="仿宋" w:eastAsia="仿宋" w:cs="仿宋"/>
                <w:color w:val="auto"/>
                <w:kern w:val="0"/>
                <w:sz w:val="24"/>
                <w:szCs w:val="24"/>
                <w:highlight w:val="none"/>
              </w:rPr>
            </w:pPr>
          </w:p>
        </w:tc>
        <w:tc>
          <w:tcPr>
            <w:tcW w:w="3095" w:type="pct"/>
            <w:tcBorders>
              <w:tl2br w:val="nil"/>
              <w:tr2bl w:val="nil"/>
            </w:tcBorders>
            <w:shd w:val="clear" w:color="auto" w:fill="auto"/>
            <w:noWrap/>
            <w:vAlign w:val="center"/>
          </w:tcPr>
          <w:p w14:paraId="4BF19767">
            <w:pPr>
              <w:widowControl/>
              <w:spacing w:line="24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信息化咨询服务</w:t>
            </w:r>
          </w:p>
        </w:tc>
        <w:tc>
          <w:tcPr>
            <w:tcW w:w="913" w:type="pct"/>
            <w:tcBorders>
              <w:tl2br w:val="nil"/>
              <w:tr2bl w:val="nil"/>
            </w:tcBorders>
            <w:shd w:val="clear" w:color="auto" w:fill="auto"/>
            <w:noWrap/>
            <w:vAlign w:val="center"/>
          </w:tcPr>
          <w:p w14:paraId="1ED39933">
            <w:pPr>
              <w:widowControl/>
              <w:spacing w:line="240" w:lineRule="auto"/>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1项</w:t>
            </w:r>
          </w:p>
        </w:tc>
      </w:tr>
      <w:tr w14:paraId="4FD5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restart"/>
            <w:tcBorders>
              <w:tl2br w:val="nil"/>
              <w:tr2bl w:val="nil"/>
            </w:tcBorders>
            <w:shd w:val="clear" w:color="auto" w:fill="auto"/>
            <w:vAlign w:val="center"/>
          </w:tcPr>
          <w:p w14:paraId="43ECADBA">
            <w:pPr>
              <w:widowControl/>
              <w:spacing w:line="3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数据中心升级改造</w:t>
            </w:r>
          </w:p>
        </w:tc>
        <w:tc>
          <w:tcPr>
            <w:tcW w:w="3095" w:type="pct"/>
            <w:tcBorders>
              <w:tl2br w:val="nil"/>
              <w:tr2bl w:val="nil"/>
            </w:tcBorders>
            <w:shd w:val="clear" w:color="auto" w:fill="auto"/>
            <w:noWrap/>
            <w:vAlign w:val="center"/>
          </w:tcPr>
          <w:p w14:paraId="4AF43458">
            <w:pPr>
              <w:widowControl/>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内网超融合服务器</w:t>
            </w:r>
          </w:p>
        </w:tc>
        <w:tc>
          <w:tcPr>
            <w:tcW w:w="913" w:type="pct"/>
            <w:tcBorders>
              <w:tl2br w:val="nil"/>
              <w:tr2bl w:val="nil"/>
            </w:tcBorders>
            <w:shd w:val="clear" w:color="auto" w:fill="auto"/>
            <w:noWrap/>
            <w:vAlign w:val="center"/>
          </w:tcPr>
          <w:p w14:paraId="7B2CCB66">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11台</w:t>
            </w:r>
          </w:p>
        </w:tc>
      </w:tr>
      <w:tr w14:paraId="3F4E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991" w:type="pct"/>
            <w:vMerge w:val="continue"/>
            <w:tcBorders>
              <w:tl2br w:val="nil"/>
              <w:tr2bl w:val="nil"/>
            </w:tcBorders>
            <w:shd w:val="clear" w:color="auto" w:fill="auto"/>
            <w:vAlign w:val="center"/>
          </w:tcPr>
          <w:p w14:paraId="4276F11A">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2FD818B1">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内、外网超融合系统软件</w:t>
            </w:r>
          </w:p>
        </w:tc>
        <w:tc>
          <w:tcPr>
            <w:tcW w:w="913" w:type="pct"/>
            <w:tcBorders>
              <w:tl2br w:val="nil"/>
              <w:tr2bl w:val="nil"/>
            </w:tcBorders>
            <w:shd w:val="clear" w:color="auto" w:fill="auto"/>
            <w:noWrap/>
            <w:vAlign w:val="center"/>
          </w:tcPr>
          <w:p w14:paraId="5DBDC373">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1套</w:t>
            </w:r>
          </w:p>
        </w:tc>
      </w:tr>
      <w:tr w14:paraId="69B4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0D65DBB5">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4FB2AAB9">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外网超融合服务器</w:t>
            </w:r>
          </w:p>
        </w:tc>
        <w:tc>
          <w:tcPr>
            <w:tcW w:w="913" w:type="pct"/>
            <w:tcBorders>
              <w:tl2br w:val="nil"/>
              <w:tr2bl w:val="nil"/>
            </w:tcBorders>
            <w:shd w:val="clear" w:color="auto" w:fill="auto"/>
            <w:noWrap/>
            <w:vAlign w:val="center"/>
          </w:tcPr>
          <w:p w14:paraId="64123992">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4台</w:t>
            </w:r>
          </w:p>
        </w:tc>
      </w:tr>
      <w:tr w14:paraId="3E99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30DF6350">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4F33B4B9">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数据库服务器</w:t>
            </w:r>
          </w:p>
        </w:tc>
        <w:tc>
          <w:tcPr>
            <w:tcW w:w="913" w:type="pct"/>
            <w:tcBorders>
              <w:tl2br w:val="nil"/>
              <w:tr2bl w:val="nil"/>
            </w:tcBorders>
            <w:shd w:val="clear" w:color="auto" w:fill="auto"/>
            <w:noWrap/>
            <w:vAlign w:val="center"/>
          </w:tcPr>
          <w:p w14:paraId="5298BAF7">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2台</w:t>
            </w:r>
          </w:p>
        </w:tc>
      </w:tr>
      <w:tr w14:paraId="7B39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7C2BDDB5">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5CDEC593">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集中式存储</w:t>
            </w:r>
          </w:p>
        </w:tc>
        <w:tc>
          <w:tcPr>
            <w:tcW w:w="913" w:type="pct"/>
            <w:tcBorders>
              <w:tl2br w:val="nil"/>
              <w:tr2bl w:val="nil"/>
            </w:tcBorders>
            <w:shd w:val="clear" w:color="auto" w:fill="auto"/>
            <w:noWrap/>
            <w:vAlign w:val="center"/>
          </w:tcPr>
          <w:p w14:paraId="782804A0">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2台</w:t>
            </w:r>
          </w:p>
        </w:tc>
      </w:tr>
      <w:tr w14:paraId="7F48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1443F16F">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2FCFB46E">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光纤交换机</w:t>
            </w:r>
          </w:p>
        </w:tc>
        <w:tc>
          <w:tcPr>
            <w:tcW w:w="913" w:type="pct"/>
            <w:tcBorders>
              <w:tl2br w:val="nil"/>
              <w:tr2bl w:val="nil"/>
            </w:tcBorders>
            <w:shd w:val="clear" w:color="auto" w:fill="auto"/>
            <w:noWrap/>
            <w:vAlign w:val="center"/>
          </w:tcPr>
          <w:p w14:paraId="1F205790">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2台</w:t>
            </w:r>
          </w:p>
        </w:tc>
      </w:tr>
      <w:tr w14:paraId="1F36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58574A92">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377D7324">
            <w:pPr>
              <w:widowControl/>
              <w:spacing w:line="240" w:lineRule="auto"/>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分布式存储</w:t>
            </w:r>
          </w:p>
        </w:tc>
        <w:tc>
          <w:tcPr>
            <w:tcW w:w="913" w:type="pct"/>
            <w:tcBorders>
              <w:tl2br w:val="nil"/>
              <w:tr2bl w:val="nil"/>
            </w:tcBorders>
            <w:shd w:val="clear" w:color="auto" w:fill="auto"/>
            <w:noWrap/>
            <w:vAlign w:val="center"/>
          </w:tcPr>
          <w:p w14:paraId="437782D3">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3台</w:t>
            </w:r>
          </w:p>
        </w:tc>
      </w:tr>
      <w:tr w14:paraId="3C54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91" w:type="pct"/>
            <w:vMerge w:val="continue"/>
            <w:tcBorders>
              <w:tl2br w:val="nil"/>
              <w:tr2bl w:val="nil"/>
            </w:tcBorders>
            <w:shd w:val="clear" w:color="auto" w:fill="auto"/>
            <w:vAlign w:val="center"/>
          </w:tcPr>
          <w:p w14:paraId="304EEC39">
            <w:pPr>
              <w:widowControl/>
              <w:spacing w:line="360" w:lineRule="exact"/>
              <w:jc w:val="center"/>
              <w:rPr>
                <w:rFonts w:hint="eastAsia" w:ascii="仿宋" w:hAnsi="仿宋" w:eastAsia="仿宋" w:cs="仿宋"/>
                <w:color w:val="auto"/>
                <w:kern w:val="0"/>
                <w:sz w:val="24"/>
                <w:szCs w:val="24"/>
                <w:highlight w:val="none"/>
                <w:lang w:val="en-US" w:eastAsia="zh-CN"/>
              </w:rPr>
            </w:pPr>
          </w:p>
        </w:tc>
        <w:tc>
          <w:tcPr>
            <w:tcW w:w="3095" w:type="pct"/>
            <w:tcBorders>
              <w:tl2br w:val="nil"/>
              <w:tr2bl w:val="nil"/>
            </w:tcBorders>
            <w:shd w:val="clear" w:color="auto" w:fill="auto"/>
            <w:noWrap/>
            <w:vAlign w:val="center"/>
          </w:tcPr>
          <w:p w14:paraId="7E4955CF">
            <w:pPr>
              <w:keepNext w:val="0"/>
              <w:keepLines w:val="0"/>
              <w:widowControl/>
              <w:suppressLineNumbers w:val="0"/>
              <w:spacing w:line="240" w:lineRule="auto"/>
              <w:jc w:val="left"/>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lang w:val="en-US" w:eastAsia="zh-CN" w:bidi="ar"/>
              </w:rPr>
              <w:t>服务器接入交换机</w:t>
            </w:r>
          </w:p>
        </w:tc>
        <w:tc>
          <w:tcPr>
            <w:tcW w:w="913" w:type="pct"/>
            <w:tcBorders>
              <w:tl2br w:val="nil"/>
              <w:tr2bl w:val="nil"/>
            </w:tcBorders>
            <w:shd w:val="clear" w:color="auto" w:fill="auto"/>
            <w:noWrap/>
            <w:vAlign w:val="center"/>
          </w:tcPr>
          <w:p w14:paraId="25B9B7BA">
            <w:pPr>
              <w:keepNext w:val="0"/>
              <w:keepLines w:val="0"/>
              <w:widowControl/>
              <w:suppressLineNumbers w:val="0"/>
              <w:spacing w:line="240" w:lineRule="auto"/>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4台</w:t>
            </w:r>
          </w:p>
        </w:tc>
      </w:tr>
    </w:tbl>
    <w:p w14:paraId="20A98CDC">
      <w:pPr>
        <w:pStyle w:val="2"/>
        <w:keepNext/>
        <w:keepLines/>
        <w:pageBreakBefore w:val="0"/>
        <w:widowControl w:val="0"/>
        <w:numPr>
          <w:ilvl w:val="-1"/>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系统建设总体要求</w:t>
      </w:r>
    </w:p>
    <w:p w14:paraId="1C99A10D">
      <w:pPr>
        <w:pStyle w:val="7"/>
        <w:spacing w:line="460" w:lineRule="exact"/>
        <w:ind w:firstLine="560" w:firstLineChars="0"/>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要求系统建设实现一院多区同质化管理，且</w:t>
      </w:r>
      <w:r>
        <w:rPr>
          <w:rFonts w:hint="eastAsia" w:ascii="仿宋" w:hAnsi="仿宋" w:eastAsia="仿宋" w:cs="仿宋"/>
          <w:color w:val="auto"/>
          <w:sz w:val="24"/>
          <w:szCs w:val="24"/>
          <w:highlight w:val="none"/>
          <w:lang w:val="en-US" w:eastAsia="zh-CN"/>
        </w:rPr>
        <w:t>无条件配合医院电子病历应用测评/智慧医疗测评、互联互通标准化成熟度测评、三级公立医院绩效考核、智慧医院评级、等级医院评审、信息安全等级保护测评、密评密改等评审评级工作。具体要求如下：</w:t>
      </w:r>
    </w:p>
    <w:p w14:paraId="2373A858">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1.要求本项目包内所有软件系统支持适配国产操作系统与专业数据库，中标方负责提供与本项目适配的数据库。在国家相关部门规定的国产适配期限内，完成本项目应用软件的国产信创适配工作。</w:t>
      </w:r>
    </w:p>
    <w:p w14:paraId="01DBEB3F">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接口要求：要求投标方在本项目实施及质保期内无论医院是否更换第三方软件系统，均须对接医院现有在用的其他相关系统（如：CA、OA、HRP、护理相关系统、医保等各类平台），所产生费用已包含在本项目内。本项目实施及质保期内如与医院现运行系统对接过程中产生第三方接口费，须本项目中标方承担。</w:t>
      </w:r>
    </w:p>
    <w:p w14:paraId="5BF72E61">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包内软件系统按医院要求覆盖医院所有院区，支持多院区模式，满足一院多区使用要求。如医院指定部分系统在某一院区先上线运行，后续扩展至其他院区时，不再另行采购软件，所有院区软件费用均已包含在本项目内。</w:t>
      </w:r>
    </w:p>
    <w:p w14:paraId="77BEB25A">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在项目实施与项目质保期内，须无条件配合医院电子病历应用测评/智慧医疗测评、互联互通标准化成熟度测评、三级公立医院绩效考核、智慧医院评级、等级医院评审、信息安全等级保护测评、密评密改等评审评级工作。</w:t>
      </w:r>
    </w:p>
    <w:p w14:paraId="7CC97C80">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5.要求所有软件授权为永久授权，不得在软件内设置“时间炸弹”等限制，所供软件无版权纠纷，且所供软件系统不存在已知的信息安全漏洞，并具备完善的用户访问控制机制。</w:t>
      </w:r>
    </w:p>
    <w:p w14:paraId="6083F24A">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6.要求软件系统提供本地化部署，配合医院就诊流程再造进行软件改造和适配。</w:t>
      </w:r>
    </w:p>
    <w:p w14:paraId="2537616A">
      <w:pPr>
        <w:pStyle w:val="7"/>
        <w:spacing w:line="460" w:lineRule="exact"/>
        <w:ind w:firstLine="56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7.根据实际情况，要求指定的相关软件系统接入AI，适配AI改造。</w:t>
      </w:r>
    </w:p>
    <w:p w14:paraId="7348F175">
      <w:pPr>
        <w:numPr>
          <w:ilvl w:val="-1"/>
          <w:numId w:val="0"/>
        </w:numPr>
        <w:tabs>
          <w:tab w:val="left" w:pos="480"/>
        </w:tabs>
        <w:spacing w:line="56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8.要求数据中心升级改造部分</w:t>
      </w:r>
      <w:r>
        <w:rPr>
          <w:rFonts w:hint="eastAsia" w:ascii="仿宋" w:hAnsi="仿宋" w:eastAsia="仿宋" w:cs="仿宋"/>
          <w:b w:val="0"/>
          <w:bCs w:val="0"/>
          <w:color w:val="auto"/>
          <w:sz w:val="24"/>
          <w:szCs w:val="24"/>
          <w:highlight w:val="none"/>
          <w:lang w:val="en-US" w:eastAsia="zh-CN"/>
        </w:rPr>
        <w:t>提供国产商用企业版服务器操作系统，符合信创要求；提供本项目硬件所需辅材。</w:t>
      </w:r>
    </w:p>
    <w:p w14:paraId="3FA891C3">
      <w:pPr>
        <w:pStyle w:val="6"/>
        <w:spacing w:line="560" w:lineRule="exact"/>
        <w:ind w:firstLine="630" w:firstLineChars="300"/>
        <w:rPr>
          <w:rFonts w:hint="eastAsia" w:ascii="仿宋" w:hAnsi="仿宋" w:eastAsia="仿宋" w:cs="仿宋"/>
          <w:b w:val="0"/>
          <w:bCs w:val="0"/>
          <w:color w:val="auto"/>
          <w:sz w:val="24"/>
          <w:szCs w:val="24"/>
          <w:highlight w:val="none"/>
          <w:lang w:val="en-US" w:eastAsia="zh-CN"/>
        </w:rPr>
      </w:pPr>
      <w:r>
        <w:rPr>
          <w:rFonts w:hint="eastAsia" w:ascii="仿宋_GB2312" w:hAnsi="仿宋_GB2312" w:eastAsia="仿宋_GB2312" w:cs="仿宋_GB2312"/>
          <w:sz w:val="21"/>
          <w:lang w:val="en-US" w:eastAsia="zh-CN"/>
        </w:rPr>
        <w:t>9.要求对医院开放数据库。</w:t>
      </w:r>
    </w:p>
    <w:p w14:paraId="6768980E">
      <w:pPr>
        <w:tabs>
          <w:tab w:val="left" w:pos="480"/>
        </w:tabs>
        <w:spacing w:line="360" w:lineRule="auto"/>
        <w:ind w:firstLine="480" w:firstLineChars="200"/>
        <w:outlineLvl w:val="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b/>
          <w:bCs/>
          <w:color w:val="auto"/>
          <w:sz w:val="24"/>
          <w:highlight w:val="none"/>
        </w:rPr>
        <w:t>二、履约交付条件</w:t>
      </w:r>
    </w:p>
    <w:p w14:paraId="018E1C04">
      <w:pPr>
        <w:tabs>
          <w:tab w:val="left" w:pos="480"/>
        </w:tabs>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（一）实施及交付地点：甲方指定地点</w:t>
      </w:r>
    </w:p>
    <w:p w14:paraId="4323E76C">
      <w:pPr>
        <w:tabs>
          <w:tab w:val="left" w:pos="480"/>
        </w:tabs>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（二）交付期：</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8个月</w:t>
      </w:r>
      <w:r>
        <w:rPr>
          <w:rFonts w:hint="eastAsia" w:ascii="仿宋" w:hAnsi="仿宋" w:eastAsia="仿宋" w:cs="仿宋"/>
          <w:color w:val="auto"/>
          <w:sz w:val="24"/>
          <w:highlight w:val="none"/>
          <w:lang w:val="en-US" w:eastAsia="zh-CN"/>
        </w:rPr>
        <w:t>内</w:t>
      </w:r>
      <w:r>
        <w:rPr>
          <w:rFonts w:hint="eastAsia" w:ascii="仿宋" w:hAnsi="仿宋" w:eastAsia="仿宋" w:cs="仿宋"/>
          <w:color w:val="auto"/>
          <w:sz w:val="24"/>
          <w:highlight w:val="none"/>
        </w:rPr>
        <w:t>，工期起始日按照医院开工通知批复日起计算。试运行期不计算在工期内（试运行期至少3个月）</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如因甲方原因导致项目暂停或延期，则工期顺延。</w:t>
      </w:r>
    </w:p>
    <w:p w14:paraId="765CAA71">
      <w:pPr>
        <w:tabs>
          <w:tab w:val="left" w:pos="480"/>
        </w:tabs>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三）包装及运输：涉及的商品包装和快递包装，均应符合《商品包装政府采购需求标准（试行）》《快递包装政府采购需求标准（试行）》的要求，包装应适应于远距离运输、防潮、防震、防锈和防野蛮装卸，以确保货物安全无损运抵指定地点。在项目最终验收合格前，货物、毁损灭失等风险由乙方自行承担。</w:t>
      </w:r>
    </w:p>
    <w:p w14:paraId="1F70C6D7">
      <w:pPr>
        <w:tabs>
          <w:tab w:val="left" w:pos="480"/>
        </w:tabs>
        <w:spacing w:line="360" w:lineRule="auto"/>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ab/>
      </w:r>
      <w:r>
        <w:rPr>
          <w:rFonts w:hint="eastAsia" w:ascii="仿宋" w:hAnsi="仿宋" w:eastAsia="仿宋" w:cs="仿宋"/>
          <w:b/>
          <w:bCs/>
          <w:color w:val="auto"/>
          <w:sz w:val="24"/>
          <w:highlight w:val="none"/>
        </w:rPr>
        <w:t>三、合同价款</w:t>
      </w:r>
    </w:p>
    <w:p w14:paraId="638D5464">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（一）合同总价款人民币：</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元整（大写：</w:t>
      </w:r>
      <w:r>
        <w:rPr>
          <w:rFonts w:hint="eastAsia" w:ascii="仿宋" w:hAnsi="仿宋" w:eastAsia="仿宋" w:cs="仿宋"/>
          <w:b/>
          <w:color w:val="auto"/>
          <w:sz w:val="24"/>
          <w:highlight w:val="none"/>
          <w:lang w:eastAsia="zh-CN"/>
        </w:rPr>
        <w:t xml:space="preserve"> </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元整</w:t>
      </w:r>
      <w:r>
        <w:rPr>
          <w:rFonts w:hint="eastAsia" w:ascii="仿宋" w:hAnsi="仿宋" w:eastAsia="仿宋" w:cs="仿宋"/>
          <w:color w:val="auto"/>
          <w:sz w:val="24"/>
          <w:highlight w:val="none"/>
        </w:rPr>
        <w:t>）。</w:t>
      </w:r>
    </w:p>
    <w:p w14:paraId="30988E3C">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负责办理将货物或服务运抵交货服务地点的一切事项，并完成与合同履约相关的工作。合同总价包括软硬件供应费、运杂费、安装费、备件费、连接线、人工费、检测费、调试费、验收、税费、售后服务费等</w:t>
      </w:r>
      <w:r>
        <w:rPr>
          <w:rFonts w:hint="eastAsia" w:ascii="仿宋" w:hAnsi="仿宋" w:eastAsia="仿宋" w:cs="仿宋"/>
          <w:bCs/>
          <w:color w:val="auto"/>
          <w:sz w:val="24"/>
          <w:highlight w:val="none"/>
        </w:rPr>
        <w:t>其它乙方履行本合同义务所需的全部</w:t>
      </w:r>
      <w:r>
        <w:rPr>
          <w:rFonts w:hint="eastAsia" w:ascii="仿宋" w:hAnsi="仿宋" w:eastAsia="仿宋" w:cs="仿宋"/>
          <w:color w:val="auto"/>
          <w:sz w:val="24"/>
          <w:highlight w:val="none"/>
        </w:rPr>
        <w:t>费用，此外，凡涉及的包装、运输、安装调试、培训、税金、售后服务、调试、接口开发、设备接入、测评、验收等，所有费用一次性计入投标总价。本合同履行期内，乙方无权再要求甲方支付任何费用。</w:t>
      </w:r>
    </w:p>
    <w:p w14:paraId="6A52930E">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（三）合同金额一次性包死，不受市场价格变化等因素的影响。</w:t>
      </w:r>
    </w:p>
    <w:p w14:paraId="2FA5845A">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四、款项结算</w:t>
      </w:r>
    </w:p>
    <w:p w14:paraId="406AF750">
      <w:pPr>
        <w:tabs>
          <w:tab w:val="left" w:pos="480"/>
        </w:tabs>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付款方式</w:t>
      </w:r>
    </w:p>
    <w:p w14:paraId="3359E334">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完成第一阶段工作且经采购人验收合格，达到付款条件起 30 日内，支付合同总金额的12%。</w:t>
      </w:r>
    </w:p>
    <w:p w14:paraId="4CB2F925">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完成第二阶段工作且经采购人验收合格，达到付款条件起 30 日内，支付合同总金额的18%。</w:t>
      </w:r>
    </w:p>
    <w:p w14:paraId="3501E2E5">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完成第三阶段工作且经采购人验收合格，达到付款条件起 30 日内，支付合同总金额的30%。</w:t>
      </w:r>
    </w:p>
    <w:p w14:paraId="1AE1BBE1">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完成第四阶段工作且经采购人验收合格，达到付款条件起 30 日内，支付合同总金额的30%。</w:t>
      </w:r>
    </w:p>
    <w:p w14:paraId="55BCF7DD">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终验完成后一年内，</w:t>
      </w:r>
      <w:r>
        <w:rPr>
          <w:rFonts w:hint="eastAsia" w:ascii="仿宋" w:hAnsi="仿宋" w:eastAsia="仿宋" w:cs="仿宋"/>
          <w:color w:val="auto"/>
          <w:sz w:val="24"/>
          <w:highlight w:val="none"/>
        </w:rPr>
        <w:t>支付合同总金额（无息）的10%。</w:t>
      </w:r>
    </w:p>
    <w:p w14:paraId="44BD63AF">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）支付方式：银行转账。</w:t>
      </w:r>
    </w:p>
    <w:p w14:paraId="73FDE196">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乙方确认以下信息为收款信息：</w:t>
      </w:r>
    </w:p>
    <w:p w14:paraId="0B32E681">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开户名：</w:t>
      </w:r>
    </w:p>
    <w:p w14:paraId="22C10A1E">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w:t>
      </w:r>
    </w:p>
    <w:p w14:paraId="5AD58028">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w:t>
      </w:r>
    </w:p>
    <w:p w14:paraId="69A6B303">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rPr>
        <w:t>）乙方应在甲方每次付款前提供等额合规发票，乙方延期提供发票或提供的发票不符合甲方要求的，甲方有权顺延付款期限，且不承担任何责任。</w:t>
      </w:r>
    </w:p>
    <w:p w14:paraId="43151FE9">
      <w:pPr>
        <w:tabs>
          <w:tab w:val="left" w:pos="480"/>
        </w:tabs>
        <w:spacing w:line="360" w:lineRule="auto"/>
        <w:ind w:firstLine="482" w:firstLineChars="200"/>
        <w:outlineLvl w:val="0"/>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rPr>
        <w:t>五、</w:t>
      </w:r>
      <w:r>
        <w:rPr>
          <w:rFonts w:hint="eastAsia" w:ascii="仿宋" w:hAnsi="仿宋" w:eastAsia="仿宋" w:cs="仿宋"/>
          <w:b/>
          <w:bCs/>
          <w:color w:val="auto"/>
          <w:sz w:val="24"/>
          <w:highlight w:val="none"/>
          <w:lang w:val="en-US" w:eastAsia="zh-CN"/>
        </w:rPr>
        <w:t>服务要求</w:t>
      </w:r>
    </w:p>
    <w:p w14:paraId="0B26B635">
      <w:pPr>
        <w:pStyle w:val="2"/>
        <w:numPr>
          <w:ilvl w:val="1"/>
          <w:numId w:val="0"/>
        </w:numPr>
        <w:ind w:left="0" w:leftChars="0" w:firstLine="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bidi="ar"/>
        </w:rPr>
        <w:t>5.1实施要求</w:t>
      </w:r>
    </w:p>
    <w:p w14:paraId="387960B6">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1、本项目要求厂商在内部开发、测试合格后，再到采购人提供的设备上，经</w:t>
      </w:r>
      <w:r>
        <w:rPr>
          <w:rFonts w:hint="eastAsia" w:ascii="仿宋" w:hAnsi="仿宋" w:eastAsia="仿宋" w:cs="仿宋"/>
          <w:color w:val="auto"/>
          <w:sz w:val="24"/>
          <w:szCs w:val="24"/>
          <w:highlight w:val="none"/>
          <w:lang w:val="en-US" w:eastAsia="zh-CN"/>
        </w:rPr>
        <w:t>测试、</w:t>
      </w:r>
      <w:r>
        <w:rPr>
          <w:rFonts w:hint="eastAsia" w:ascii="仿宋" w:hAnsi="仿宋" w:eastAsia="仿宋" w:cs="仿宋"/>
          <w:color w:val="auto"/>
          <w:sz w:val="24"/>
          <w:szCs w:val="24"/>
          <w:highlight w:val="none"/>
        </w:rPr>
        <w:t>检验后进行安装调试，直至验收合格。</w:t>
      </w:r>
    </w:p>
    <w:p w14:paraId="4F6A186C">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2、项目实施计划要求</w:t>
      </w:r>
    </w:p>
    <w:p w14:paraId="7BA4617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1）第一阶段</w:t>
      </w:r>
    </w:p>
    <w:p w14:paraId="09ABD17D">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完成数据中心升级改造（全部硬件设备）安装调试，完成软件需求调研和概要设计。 </w:t>
      </w:r>
    </w:p>
    <w:p w14:paraId="63CF171E">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2）第二阶段</w:t>
      </w:r>
    </w:p>
    <w:p w14:paraId="52F330A7">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完成一体化智慧医院信息系统、集团化医院集成平台、临床决策支持系统（CDSS）、全资源预约平台、医疗安全提升、云影像平台上线，</w:t>
      </w:r>
      <w:r>
        <w:rPr>
          <w:rFonts w:hint="eastAsia" w:ascii="仿宋" w:hAnsi="仿宋" w:eastAsia="仿宋" w:cs="仿宋"/>
          <w:color w:val="auto"/>
          <w:sz w:val="24"/>
          <w:szCs w:val="24"/>
          <w:highlight w:val="none"/>
          <w:lang w:val="en-US" w:eastAsia="zh-CN"/>
        </w:rPr>
        <w:t>接入相关医疗与医技管理第三方系统，</w:t>
      </w:r>
      <w:r>
        <w:rPr>
          <w:rFonts w:hint="eastAsia" w:ascii="仿宋" w:hAnsi="仿宋" w:eastAsia="仿宋" w:cs="仿宋"/>
          <w:color w:val="auto"/>
          <w:sz w:val="24"/>
          <w:szCs w:val="24"/>
          <w:highlight w:val="none"/>
        </w:rPr>
        <w:t>确保</w:t>
      </w:r>
      <w:r>
        <w:rPr>
          <w:rFonts w:hint="eastAsia" w:ascii="仿宋" w:hAnsi="仿宋" w:eastAsia="仿宋" w:cs="仿宋"/>
          <w:color w:val="auto"/>
          <w:sz w:val="24"/>
          <w:szCs w:val="24"/>
          <w:highlight w:val="none"/>
          <w:lang w:val="en-US" w:eastAsia="zh-CN"/>
        </w:rPr>
        <w:t>医疗日常业务</w:t>
      </w:r>
      <w:r>
        <w:rPr>
          <w:rFonts w:hint="eastAsia" w:ascii="仿宋" w:hAnsi="仿宋" w:eastAsia="仿宋" w:cs="仿宋"/>
          <w:color w:val="auto"/>
          <w:sz w:val="24"/>
          <w:szCs w:val="24"/>
          <w:highlight w:val="none"/>
        </w:rPr>
        <w:t>能够正常运行。建成完善的临床信息数据库CDR，能够为医院临床医护提供全面的数据支撑，进一步提升医疗服务能力。</w:t>
      </w:r>
    </w:p>
    <w:p w14:paraId="58D6C672">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3）第三阶段</w:t>
      </w:r>
    </w:p>
    <w:p w14:paraId="172A1028">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建成运营信息数据库ODR，能够为管理者提供全面的数据支撑，进一步提升管理者精细化管理能力。</w:t>
      </w:r>
    </w:p>
    <w:p w14:paraId="206B3CC9">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4）第四阶段</w:t>
      </w:r>
    </w:p>
    <w:p w14:paraId="2372CC0E">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完成医院相关考核/测评系统服务中软件模块上线，并配合医院进行相关测评（互联互通标准化成熟度四级甲等评审、电子病历五级评审、智慧医院评审)本项目要求第一、二阶段需在开工之日起9个月内完成。</w:t>
      </w:r>
    </w:p>
    <w:p w14:paraId="71264074">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3、必须确保在整个项目过程中遵守国家及行业相关法规、标准和规范，如果已有产品或工作模式在标准和规范方面存在缺陷，必须在本项目实施过程中予以改正。</w:t>
      </w:r>
    </w:p>
    <w:p w14:paraId="4D5B8097">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4、必须在对整个项目过程进行科学、有效的项目管理，在投标文件中应提供切实可行的实施工作进度保障方案及控制措施，以确保项目质量和进度。</w:t>
      </w:r>
    </w:p>
    <w:p w14:paraId="6025543A">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5、在实施过程中应遵循院方正常工作秩序和流程，并节省院方各类资源，充分发挥系统效益。</w:t>
      </w:r>
    </w:p>
    <w:p w14:paraId="6B096893">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6、必须针对项目实施提供一系列实施保障，包含需求调研、客户化改造、测试、数据准备、培训考核等。</w:t>
      </w:r>
    </w:p>
    <w:p w14:paraId="72C741BA">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、应在投标文件中明确保证项目建设团队的主要人员的稳定性。不得在未经院方同意的情况下更换项目经理。院方或供应商认为需要更换供应商项目经理和项目团队成员时，均应提早</w:t>
      </w:r>
      <w:r>
        <w:rPr>
          <w:rFonts w:hint="eastAsia" w:ascii="仿宋" w:hAnsi="仿宋" w:eastAsia="仿宋" w:cs="仿宋"/>
          <w:color w:val="auto"/>
          <w:sz w:val="24"/>
          <w:szCs w:val="24"/>
          <w:highlight w:val="none"/>
          <w:lang w:val="en-US" w:eastAsia="zh-CN"/>
        </w:rPr>
        <w:t>两</w:t>
      </w:r>
      <w:r>
        <w:rPr>
          <w:rFonts w:hint="eastAsia" w:ascii="仿宋" w:hAnsi="仿宋" w:eastAsia="仿宋" w:cs="仿宋"/>
          <w:color w:val="auto"/>
          <w:sz w:val="24"/>
          <w:szCs w:val="24"/>
          <w:highlight w:val="none"/>
        </w:rPr>
        <w:t>周向对方申明原因，同时供应商应提出新的符合合同要求的项目经理和项目团队成员人选，经院方同意并办理交接手续后方可更换。</w:t>
      </w:r>
    </w:p>
    <w:p w14:paraId="4A421980">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、如在项目实施过程中需要调整内容、进度等，需经双方共同同意，按合同变更程序办理。</w:t>
      </w:r>
    </w:p>
    <w:p w14:paraId="4A5BF437">
      <w:pPr>
        <w:pStyle w:val="7"/>
        <w:spacing w:line="460" w:lineRule="exact"/>
        <w:ind w:leftChars="0" w:firstLine="560"/>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9、多院区一体化部署</w:t>
      </w:r>
    </w:p>
    <w:p w14:paraId="0B393249">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项目需要实现</w:t>
      </w:r>
      <w:r>
        <w:rPr>
          <w:rFonts w:hint="eastAsia" w:ascii="仿宋" w:hAnsi="仿宋" w:eastAsia="仿宋" w:cs="仿宋"/>
          <w:color w:val="auto"/>
          <w:sz w:val="24"/>
          <w:szCs w:val="24"/>
          <w:highlight w:val="none"/>
          <w:lang w:val="en-US" w:eastAsia="zh-CN"/>
        </w:rPr>
        <w:t>多院区</w:t>
      </w:r>
      <w:r>
        <w:rPr>
          <w:rFonts w:hint="eastAsia" w:ascii="仿宋" w:hAnsi="仿宋" w:eastAsia="仿宋" w:cs="仿宋"/>
          <w:color w:val="auto"/>
          <w:sz w:val="24"/>
          <w:szCs w:val="24"/>
          <w:highlight w:val="none"/>
        </w:rPr>
        <w:t>的一体化整合，在建设</w:t>
      </w:r>
      <w:r>
        <w:rPr>
          <w:rFonts w:hint="eastAsia" w:ascii="仿宋" w:hAnsi="仿宋" w:eastAsia="仿宋" w:cs="仿宋"/>
          <w:color w:val="auto"/>
          <w:sz w:val="24"/>
          <w:szCs w:val="24"/>
          <w:highlight w:val="none"/>
          <w:lang w:val="en-US" w:eastAsia="zh-CN"/>
        </w:rPr>
        <w:t>过程中根据医院需求开展适应性和本地化改造，</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val="en-US" w:eastAsia="zh-CN"/>
        </w:rPr>
        <w:t>多</w:t>
      </w:r>
      <w:r>
        <w:rPr>
          <w:rFonts w:hint="eastAsia" w:ascii="仿宋" w:hAnsi="仿宋" w:eastAsia="仿宋" w:cs="仿宋"/>
          <w:color w:val="auto"/>
          <w:sz w:val="24"/>
          <w:szCs w:val="24"/>
          <w:highlight w:val="none"/>
        </w:rPr>
        <w:t>院区一体化部署。</w:t>
      </w:r>
    </w:p>
    <w:p w14:paraId="54225476">
      <w:pPr>
        <w:pStyle w:val="7"/>
        <w:spacing w:line="460" w:lineRule="exact"/>
        <w:ind w:leftChars="0" w:firstLine="560"/>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w:t>
      </w:r>
      <w:r>
        <w:rPr>
          <w:rFonts w:hint="default" w:ascii="仿宋" w:hAnsi="仿宋" w:eastAsia="仿宋" w:cs="仿宋"/>
          <w:b w:val="0"/>
          <w:bCs w:val="0"/>
          <w:color w:val="auto"/>
          <w:sz w:val="24"/>
          <w:szCs w:val="24"/>
          <w:highlight w:val="none"/>
          <w:lang w:val="en-US" w:eastAsia="zh-CN"/>
        </w:rPr>
        <w:t>新老系统切换</w:t>
      </w:r>
    </w:p>
    <w:p w14:paraId="0AA27A41">
      <w:pPr>
        <w:pStyle w:val="7"/>
        <w:spacing w:line="460" w:lineRule="exact"/>
        <w:ind w:firstLine="56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HIS系统是整个医院信息化系统的核心业务系统，涉及使用部门和人员众多，业务功能覆盖面大，而且包含大部分基础数据，其他业务系统多沿用HIS系统中的基础字典，也是后续电子病历应用水平测评中要求最多的部分，需提供新老系统切换可行性方案</w:t>
      </w:r>
      <w:r>
        <w:rPr>
          <w:rFonts w:hint="eastAsia" w:ascii="仿宋" w:hAnsi="仿宋" w:eastAsia="仿宋" w:cs="仿宋"/>
          <w:color w:val="auto"/>
          <w:sz w:val="24"/>
          <w:szCs w:val="24"/>
          <w:highlight w:val="none"/>
          <w:lang w:eastAsia="zh-CN"/>
        </w:rPr>
        <w:t>。</w:t>
      </w:r>
    </w:p>
    <w:p w14:paraId="427FC916">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要求对原有系统中必要的业务数据进行迁移，所涉及原有系统厂商迁移费用包含在本项目内。</w:t>
      </w:r>
    </w:p>
    <w:p w14:paraId="12B43C23">
      <w:pPr>
        <w:pStyle w:val="2"/>
        <w:numPr>
          <w:ilvl w:val="1"/>
          <w:numId w:val="0"/>
        </w:numPr>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5.2应急解决方案要求</w:t>
      </w:r>
    </w:p>
    <w:p w14:paraId="3C814B8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需要对系统可能出现故障，对部分故障如何处理进行简要描述，对HIS服务器故障如何处理应对进行重点描述，主要针对医院新信息系统</w:t>
      </w:r>
      <w:r>
        <w:rPr>
          <w:rFonts w:hint="eastAsia" w:ascii="仿宋" w:hAnsi="仿宋" w:eastAsia="仿宋" w:cs="仿宋"/>
          <w:color w:val="auto"/>
          <w:sz w:val="24"/>
          <w:szCs w:val="24"/>
          <w:highlight w:val="none"/>
          <w:lang w:val="en-US" w:eastAsia="zh-CN"/>
        </w:rPr>
        <w:t>运行</w:t>
      </w:r>
      <w:r>
        <w:rPr>
          <w:rFonts w:hint="eastAsia" w:ascii="仿宋" w:hAnsi="仿宋" w:eastAsia="仿宋" w:cs="仿宋"/>
          <w:color w:val="auto"/>
          <w:sz w:val="24"/>
          <w:szCs w:val="24"/>
          <w:highlight w:val="none"/>
        </w:rPr>
        <w:t>期间HIS服务器无法使用或连接时的情况处理，提供详细的应急解决方案。</w:t>
      </w:r>
    </w:p>
    <w:p w14:paraId="7B92FBAB">
      <w:pPr>
        <w:pStyle w:val="2"/>
        <w:numPr>
          <w:ilvl w:val="1"/>
          <w:numId w:val="0"/>
        </w:numPr>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5.3培训要求</w:t>
      </w:r>
    </w:p>
    <w:p w14:paraId="55352E7B">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供应商必须根据系统软件的功能和特点，充分考虑到系统</w:t>
      </w:r>
      <w:r>
        <w:rPr>
          <w:rFonts w:hint="eastAsia" w:ascii="仿宋" w:hAnsi="仿宋" w:eastAsia="仿宋" w:cs="仿宋"/>
          <w:color w:val="auto"/>
          <w:sz w:val="24"/>
          <w:szCs w:val="24"/>
          <w:highlight w:val="none"/>
          <w:lang w:val="en-US" w:eastAsia="zh-CN" w:bidi="ar"/>
        </w:rPr>
        <w:t>维护人员、普通操作</w:t>
      </w:r>
      <w:r>
        <w:rPr>
          <w:rFonts w:hint="eastAsia" w:ascii="仿宋" w:hAnsi="仿宋" w:eastAsia="仿宋" w:cs="仿宋"/>
          <w:color w:val="auto"/>
          <w:sz w:val="24"/>
          <w:szCs w:val="24"/>
          <w:highlight w:val="none"/>
          <w:lang w:bidi="ar"/>
        </w:rPr>
        <w:t>人员的实际水平，提出详细的系统培训方案。目标是通过系统培训以达到系统管理人员能够具备独立管理供应商所提供的系统软件和日常的维护处理能力，各级业务人员能够熟练使用系统软件，确保应用系统能够真正的用起来。</w:t>
      </w:r>
    </w:p>
    <w:p w14:paraId="6EE33C87">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1、必须针对本系统软件及采用的</w:t>
      </w:r>
      <w:r>
        <w:rPr>
          <w:rFonts w:hint="eastAsia" w:ascii="仿宋" w:hAnsi="仿宋" w:eastAsia="仿宋" w:cs="仿宋"/>
          <w:color w:val="auto"/>
          <w:sz w:val="24"/>
          <w:szCs w:val="24"/>
          <w:highlight w:val="none"/>
        </w:rPr>
        <w:t>相关</w:t>
      </w:r>
      <w:r>
        <w:rPr>
          <w:rFonts w:hint="eastAsia" w:ascii="仿宋" w:hAnsi="仿宋" w:eastAsia="仿宋" w:cs="仿宋"/>
          <w:color w:val="auto"/>
          <w:sz w:val="24"/>
          <w:szCs w:val="24"/>
          <w:highlight w:val="none"/>
          <w:lang w:bidi="ar"/>
        </w:rPr>
        <w:t>技术等提出全面培训计划和培训方案并征得采购人同意后实施，培训服务工作须满足招标文件要求。</w:t>
      </w:r>
    </w:p>
    <w:p w14:paraId="226B9D1E">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2、培训对象应分为普通业务操作员、系统管理员，必须针对不同的对象制定不同的培训计划，并分别培训。所提供的培训课程表随投标文件一起提交；</w:t>
      </w:r>
    </w:p>
    <w:p w14:paraId="0927BA8C">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3、应保证提供有经验的教员，使</w:t>
      </w: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bidi="ar"/>
        </w:rPr>
        <w:t>方相关人员在培训后能够独立地对系统进行管理、维护，而不需供应商的人员在场指导。</w:t>
      </w:r>
    </w:p>
    <w:p w14:paraId="7431FD2F">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4、培训内容包括应用软件操作、</w:t>
      </w:r>
      <w:r>
        <w:rPr>
          <w:rFonts w:hint="eastAsia" w:ascii="仿宋" w:hAnsi="仿宋" w:eastAsia="仿宋" w:cs="仿宋"/>
          <w:color w:val="auto"/>
          <w:sz w:val="24"/>
          <w:szCs w:val="24"/>
          <w:highlight w:val="none"/>
        </w:rPr>
        <w:t>操作系统</w:t>
      </w:r>
      <w:r>
        <w:rPr>
          <w:rFonts w:hint="eastAsia" w:ascii="仿宋" w:hAnsi="仿宋" w:eastAsia="仿宋" w:cs="仿宋"/>
          <w:color w:val="auto"/>
          <w:sz w:val="24"/>
          <w:szCs w:val="24"/>
          <w:highlight w:val="none"/>
          <w:lang w:bidi="ar"/>
        </w:rPr>
        <w:t>、后台数据库管理等培训。</w:t>
      </w:r>
    </w:p>
    <w:p w14:paraId="7655DE72">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5、必须为所有被培训人员进行</w:t>
      </w:r>
      <w:r>
        <w:rPr>
          <w:rFonts w:hint="eastAsia" w:ascii="仿宋" w:hAnsi="仿宋" w:eastAsia="仿宋" w:cs="仿宋"/>
          <w:color w:val="auto"/>
          <w:sz w:val="24"/>
          <w:szCs w:val="24"/>
          <w:highlight w:val="none"/>
        </w:rPr>
        <w:t>现场</w:t>
      </w:r>
      <w:r>
        <w:rPr>
          <w:rFonts w:hint="eastAsia" w:ascii="仿宋" w:hAnsi="仿宋" w:eastAsia="仿宋" w:cs="仿宋"/>
          <w:color w:val="auto"/>
          <w:sz w:val="24"/>
          <w:szCs w:val="24"/>
          <w:highlight w:val="none"/>
          <w:lang w:bidi="ar"/>
        </w:rPr>
        <w:t>培训。</w:t>
      </w:r>
    </w:p>
    <w:p w14:paraId="7334BE5A">
      <w:pPr>
        <w:pStyle w:val="2"/>
        <w:numPr>
          <w:ilvl w:val="1"/>
          <w:numId w:val="0"/>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5.4验收及售后要求</w:t>
      </w:r>
    </w:p>
    <w:p w14:paraId="48647885">
      <w:pPr>
        <w:pStyle w:val="7"/>
        <w:spacing w:line="460" w:lineRule="exact"/>
        <w:ind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5.4.1验收要求</w:t>
      </w:r>
    </w:p>
    <w:p w14:paraId="0427DBAA">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本项目分四个阶段验收。</w:t>
      </w:r>
    </w:p>
    <w:p w14:paraId="3BBDE14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1）第一阶段</w:t>
      </w:r>
    </w:p>
    <w:p w14:paraId="680AD999">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数据中心升级改造（硬件设备）安装调试，完成软件需求调研和概要设计</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p>
    <w:p w14:paraId="200AB5C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2）第二阶段</w:t>
      </w:r>
    </w:p>
    <w:p w14:paraId="0B9DD24F">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完成一体化智慧医院信息系统、集团化医院集成平台、临床决策支持系统（CDSS）、全资源预约平台、医疗安全提升</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云影像平台</w:t>
      </w:r>
      <w:r>
        <w:rPr>
          <w:rFonts w:hint="eastAsia" w:ascii="仿宋" w:hAnsi="仿宋" w:eastAsia="仿宋" w:cs="仿宋"/>
          <w:color w:val="auto"/>
          <w:sz w:val="24"/>
          <w:szCs w:val="24"/>
          <w:highlight w:val="none"/>
        </w:rPr>
        <w:t>上线</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建成完善的</w:t>
      </w:r>
      <w:r>
        <w:rPr>
          <w:rFonts w:hint="eastAsia" w:ascii="仿宋" w:hAnsi="仿宋" w:eastAsia="仿宋" w:cs="仿宋"/>
          <w:color w:val="auto"/>
          <w:sz w:val="24"/>
          <w:szCs w:val="24"/>
          <w:highlight w:val="none"/>
          <w:lang w:eastAsia="zh-CN"/>
        </w:rPr>
        <w:t>临床信息数据库</w:t>
      </w:r>
      <w:r>
        <w:rPr>
          <w:rFonts w:hint="eastAsia" w:ascii="仿宋" w:hAnsi="仿宋" w:eastAsia="仿宋" w:cs="仿宋"/>
          <w:color w:val="auto"/>
          <w:sz w:val="24"/>
          <w:szCs w:val="24"/>
          <w:highlight w:val="none"/>
          <w:lang w:val="en-US" w:eastAsia="zh-CN"/>
        </w:rPr>
        <w:t>CDR</w:t>
      </w:r>
      <w:r>
        <w:rPr>
          <w:rFonts w:hint="eastAsia" w:ascii="仿宋" w:hAnsi="仿宋" w:eastAsia="仿宋" w:cs="仿宋"/>
          <w:color w:val="auto"/>
          <w:sz w:val="24"/>
          <w:szCs w:val="24"/>
          <w:highlight w:val="none"/>
        </w:rPr>
        <w:t>，能够为医院临床医护提供全面的数据支撑，进一步提升</w:t>
      </w:r>
      <w:r>
        <w:rPr>
          <w:rFonts w:hint="eastAsia" w:ascii="仿宋" w:hAnsi="仿宋" w:eastAsia="仿宋" w:cs="仿宋"/>
          <w:color w:val="auto"/>
          <w:sz w:val="24"/>
          <w:szCs w:val="24"/>
          <w:highlight w:val="none"/>
          <w:lang w:eastAsia="zh-CN"/>
        </w:rPr>
        <w:t>医疗服务能力</w:t>
      </w:r>
      <w:r>
        <w:rPr>
          <w:rFonts w:hint="eastAsia" w:ascii="仿宋" w:hAnsi="仿宋" w:eastAsia="仿宋" w:cs="仿宋"/>
          <w:color w:val="auto"/>
          <w:sz w:val="24"/>
          <w:szCs w:val="24"/>
          <w:highlight w:val="none"/>
        </w:rPr>
        <w:t>。</w:t>
      </w:r>
    </w:p>
    <w:p w14:paraId="5DB06D4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3）第三阶段</w:t>
      </w:r>
    </w:p>
    <w:p w14:paraId="3FFD1A7A">
      <w:pPr>
        <w:pStyle w:val="7"/>
        <w:spacing w:line="460" w:lineRule="exact"/>
        <w:ind w:firstLine="56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建成</w:t>
      </w:r>
      <w:r>
        <w:rPr>
          <w:rFonts w:hint="eastAsia" w:ascii="仿宋" w:hAnsi="仿宋" w:eastAsia="仿宋" w:cs="仿宋"/>
          <w:color w:val="auto"/>
          <w:sz w:val="24"/>
          <w:szCs w:val="24"/>
          <w:highlight w:val="none"/>
        </w:rPr>
        <w:t>运营</w:t>
      </w:r>
      <w:r>
        <w:rPr>
          <w:rFonts w:hint="eastAsia" w:ascii="仿宋" w:hAnsi="仿宋" w:eastAsia="仿宋" w:cs="仿宋"/>
          <w:color w:val="auto"/>
          <w:sz w:val="24"/>
          <w:szCs w:val="24"/>
          <w:highlight w:val="none"/>
          <w:lang w:eastAsia="zh-CN"/>
        </w:rPr>
        <w:t>信息数据库</w:t>
      </w:r>
      <w:r>
        <w:rPr>
          <w:rFonts w:hint="eastAsia" w:ascii="仿宋" w:hAnsi="仿宋" w:eastAsia="仿宋" w:cs="仿宋"/>
          <w:color w:val="auto"/>
          <w:sz w:val="24"/>
          <w:szCs w:val="24"/>
          <w:highlight w:val="none"/>
          <w:lang w:val="en-US" w:eastAsia="zh-CN"/>
        </w:rPr>
        <w:t>ODR，</w:t>
      </w:r>
      <w:r>
        <w:rPr>
          <w:rFonts w:hint="eastAsia" w:ascii="仿宋" w:hAnsi="仿宋" w:eastAsia="仿宋" w:cs="仿宋"/>
          <w:color w:val="auto"/>
          <w:sz w:val="24"/>
          <w:szCs w:val="24"/>
          <w:highlight w:val="none"/>
        </w:rPr>
        <w:t>能够为管理者提供全面的数据支撑，进一步提升管理者精细化管理能力</w:t>
      </w:r>
      <w:r>
        <w:rPr>
          <w:rFonts w:hint="eastAsia" w:ascii="仿宋" w:hAnsi="仿宋" w:eastAsia="仿宋" w:cs="仿宋"/>
          <w:color w:val="auto"/>
          <w:sz w:val="24"/>
          <w:szCs w:val="24"/>
          <w:highlight w:val="none"/>
          <w:lang w:eastAsia="zh-CN"/>
        </w:rPr>
        <w:t>。</w:t>
      </w:r>
    </w:p>
    <w:p w14:paraId="70DF2994">
      <w:pPr>
        <w:pStyle w:val="7"/>
        <w:numPr>
          <w:ilvl w:val="-1"/>
          <w:numId w:val="0"/>
        </w:numPr>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4）第四阶段</w:t>
      </w:r>
    </w:p>
    <w:p w14:paraId="0759E7BC">
      <w:pPr>
        <w:pStyle w:val="7"/>
        <w:numPr>
          <w:ilvl w:val="0"/>
          <w:numId w:val="0"/>
        </w:numPr>
        <w:spacing w:line="460" w:lineRule="exact"/>
        <w:ind w:firstLine="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完成医院相关考核/测评系统服务中软件模块上线，</w:t>
      </w:r>
      <w:r>
        <w:rPr>
          <w:rFonts w:hint="eastAsia" w:ascii="仿宋" w:hAnsi="仿宋" w:eastAsia="仿宋" w:cs="仿宋"/>
          <w:color w:val="auto"/>
          <w:sz w:val="24"/>
          <w:szCs w:val="24"/>
          <w:highlight w:val="none"/>
          <w:lang w:eastAsia="zh-CN"/>
        </w:rPr>
        <w:t>并</w:t>
      </w:r>
      <w:r>
        <w:rPr>
          <w:rFonts w:hint="eastAsia" w:ascii="仿宋" w:hAnsi="仿宋" w:eastAsia="仿宋" w:cs="仿宋"/>
          <w:color w:val="auto"/>
          <w:sz w:val="24"/>
          <w:szCs w:val="24"/>
          <w:highlight w:val="none"/>
          <w:lang w:val="en-US" w:eastAsia="zh-CN"/>
        </w:rPr>
        <w:t>配合医院进行相关测评（</w:t>
      </w:r>
      <w:r>
        <w:rPr>
          <w:rFonts w:hint="eastAsia" w:ascii="仿宋" w:hAnsi="仿宋" w:eastAsia="仿宋" w:cs="仿宋"/>
          <w:color w:val="auto"/>
          <w:sz w:val="24"/>
          <w:szCs w:val="24"/>
          <w:highlight w:val="none"/>
        </w:rPr>
        <w:t>互联互通标准化成熟度四级甲等</w:t>
      </w:r>
      <w:r>
        <w:rPr>
          <w:rFonts w:hint="eastAsia" w:ascii="仿宋" w:hAnsi="仿宋" w:eastAsia="仿宋" w:cs="仿宋"/>
          <w:color w:val="auto"/>
          <w:sz w:val="24"/>
          <w:szCs w:val="24"/>
          <w:highlight w:val="none"/>
          <w:lang w:val="en-US" w:eastAsia="zh-CN"/>
        </w:rPr>
        <w:t>评审、电子病历五级评审、智慧医院三级评审)。</w:t>
      </w:r>
    </w:p>
    <w:p w14:paraId="4778E39C">
      <w:pPr>
        <w:pStyle w:val="7"/>
        <w:numPr>
          <w:ilvl w:val="0"/>
          <w:numId w:val="0"/>
        </w:numPr>
        <w:spacing w:line="460" w:lineRule="exact"/>
        <w:ind w:firstLine="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系统试运行至少3个月（试运行期不计算在工期内），进入正式运行期后，由乙方提出终验申请，按照市卫健委要求组织终验。</w:t>
      </w:r>
    </w:p>
    <w:p w14:paraId="009055D6">
      <w:pPr>
        <w:pStyle w:val="7"/>
        <w:numPr>
          <w:ilvl w:val="0"/>
          <w:numId w:val="0"/>
        </w:num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5.4.2售后要求</w:t>
      </w:r>
    </w:p>
    <w:p w14:paraId="68CA6D93">
      <w:pPr>
        <w:pStyle w:val="7"/>
        <w:numPr>
          <w:ilvl w:val="-1"/>
          <w:numId w:val="0"/>
        </w:numPr>
        <w:spacing w:line="460" w:lineRule="exact"/>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要求提供3年质保（质保期起始日期自项目终验合格之日起计算）。以上软、硬件质保费用已包含在本项目报价内。</w:t>
      </w:r>
    </w:p>
    <w:p w14:paraId="0383FFA4">
      <w:pPr>
        <w:pStyle w:val="7"/>
        <w:numPr>
          <w:ilvl w:val="-1"/>
          <w:numId w:val="0"/>
        </w:numPr>
        <w:spacing w:line="460" w:lineRule="exact"/>
        <w:ind w:left="420" w:leftChars="200" w:firstLine="0" w:firstLineChars="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1、质保</w:t>
      </w:r>
      <w:r>
        <w:rPr>
          <w:rFonts w:hint="eastAsia" w:ascii="仿宋" w:hAnsi="仿宋" w:eastAsia="仿宋" w:cs="仿宋"/>
          <w:color w:val="auto"/>
          <w:sz w:val="24"/>
          <w:szCs w:val="24"/>
          <w:highlight w:val="none"/>
          <w:lang w:bidi="ar"/>
        </w:rPr>
        <w:t>期内的技术服务</w:t>
      </w:r>
    </w:p>
    <w:p w14:paraId="367CF768">
      <w:pPr>
        <w:pStyle w:val="7"/>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质保期：系统整体质保三年（硬件为原厂质保），自项目终验合格之日起计算。</w:t>
      </w:r>
    </w:p>
    <w:p w14:paraId="12E1C410">
      <w:pPr>
        <w:pStyle w:val="7"/>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驻场服务：提供驻场服务人员≥3人，要求驻场人员需具备软件开发能力。</w:t>
      </w:r>
    </w:p>
    <w:p w14:paraId="156B0789">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升级服务</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提供在正常</w:t>
      </w:r>
      <w:r>
        <w:rPr>
          <w:rFonts w:hint="eastAsia" w:ascii="仿宋" w:hAnsi="仿宋" w:eastAsia="仿宋" w:cs="仿宋"/>
          <w:color w:val="auto"/>
          <w:sz w:val="24"/>
          <w:szCs w:val="24"/>
          <w:highlight w:val="none"/>
        </w:rPr>
        <w:t>条件</w:t>
      </w:r>
      <w:r>
        <w:rPr>
          <w:rFonts w:hint="eastAsia" w:ascii="仿宋" w:hAnsi="仿宋" w:eastAsia="仿宋" w:cs="仿宋"/>
          <w:color w:val="auto"/>
          <w:sz w:val="24"/>
          <w:szCs w:val="24"/>
          <w:highlight w:val="none"/>
          <w:lang w:bidi="ar"/>
        </w:rPr>
        <w:t>下保证系统正常稳定运行的系统更新升级服务。</w:t>
      </w:r>
    </w:p>
    <w:p w14:paraId="02712B68">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优化服务</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提供在正常条件下改进系统性能的各项建议，包括系统资源分配与效率改进建议、软件配置规划和性能优化建议、系统容量预测建议等。</w:t>
      </w:r>
    </w:p>
    <w:p w14:paraId="5FEA69C7">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咨询服务</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提供系统软件应用和维护技术咨询服务。</w:t>
      </w:r>
    </w:p>
    <w:p w14:paraId="7B134309">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电话或现场技术服务</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bidi="ar"/>
        </w:rPr>
        <w:t>电话或现场技术服务。</w:t>
      </w:r>
    </w:p>
    <w:p w14:paraId="56495509">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val="en-US" w:eastAsia="zh-CN" w:bidi="ar"/>
        </w:rPr>
        <w:t>软件功能优化服务</w:t>
      </w:r>
    </w:p>
    <w:p w14:paraId="21C5D337">
      <w:pPr>
        <w:pStyle w:val="7"/>
        <w:spacing w:line="460" w:lineRule="exact"/>
        <w:ind w:firstLine="56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需根据院方实际工作需要提出的功能需求，积极响应，进行本地化修改并满足工作要求。并在实施及免费维护期内，保证合同范围内功能模块满足客户化需求。</w:t>
      </w:r>
    </w:p>
    <w:p w14:paraId="2648EE6F">
      <w:pPr>
        <w:tabs>
          <w:tab w:val="left" w:pos="480"/>
        </w:tabs>
        <w:spacing w:line="360" w:lineRule="auto"/>
        <w:ind w:firstLine="480" w:firstLineChars="200"/>
        <w:outlineLvl w:val="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3、售后响应及排除故障时限要求</w:t>
      </w:r>
    </w:p>
    <w:p w14:paraId="58B2AEFF">
      <w:pPr>
        <w:tabs>
          <w:tab w:val="left" w:pos="480"/>
        </w:tabs>
        <w:spacing w:line="360" w:lineRule="auto"/>
        <w:ind w:firstLine="480" w:firstLineChars="200"/>
        <w:outlineLvl w:val="0"/>
        <w:rPr>
          <w:rFonts w:hint="eastAsia" w:ascii="仿宋" w:hAnsi="仿宋" w:eastAsia="仿宋" w:cs="仿宋"/>
          <w:b/>
          <w:bCs/>
          <w:color w:val="auto"/>
          <w:sz w:val="24"/>
          <w:highlight w:val="none"/>
        </w:rPr>
      </w:pPr>
      <w:r>
        <w:rPr>
          <w:rFonts w:hint="eastAsia" w:ascii="仿宋" w:hAnsi="仿宋" w:eastAsia="仿宋" w:cs="仿宋"/>
          <w:color w:val="auto"/>
          <w:sz w:val="24"/>
          <w:szCs w:val="24"/>
          <w:highlight w:val="none"/>
          <w:lang w:bidi="ar"/>
        </w:rPr>
        <w:t>必须按院方指定的方式提供7×24小时支持维护服务并在30分钟内响应，维护方式包括邮件、电话、远程维护、现场服务等方式</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val="en-US" w:eastAsia="zh-CN" w:bidi="ar"/>
        </w:rPr>
        <w:t>一般故障排除时间不超过2小时。</w:t>
      </w:r>
      <w:r>
        <w:rPr>
          <w:rFonts w:hint="eastAsia" w:ascii="仿宋" w:hAnsi="仿宋" w:eastAsia="仿宋" w:cs="仿宋"/>
          <w:color w:val="auto"/>
          <w:sz w:val="24"/>
          <w:szCs w:val="24"/>
          <w:highlight w:val="none"/>
          <w:lang w:bidi="ar"/>
        </w:rPr>
        <w:t>必须保证有足够的人员及技术支持负责本系统运维工作。</w:t>
      </w:r>
    </w:p>
    <w:p w14:paraId="4BC4850E">
      <w:pPr>
        <w:tabs>
          <w:tab w:val="left" w:pos="480"/>
        </w:tabs>
        <w:spacing w:line="360" w:lineRule="auto"/>
        <w:ind w:firstLine="482" w:firstLineChars="200"/>
        <w:outlineLvl w:val="0"/>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rPr>
        <w:t>六、</w:t>
      </w:r>
      <w:r>
        <w:rPr>
          <w:rFonts w:hint="eastAsia" w:ascii="仿宋" w:hAnsi="仿宋" w:eastAsia="仿宋" w:cs="仿宋"/>
          <w:b/>
          <w:bCs/>
          <w:color w:val="auto"/>
          <w:sz w:val="24"/>
          <w:highlight w:val="none"/>
          <w:lang w:val="en-US" w:eastAsia="zh-CN"/>
        </w:rPr>
        <w:t>其他要求</w:t>
      </w:r>
    </w:p>
    <w:p w14:paraId="74B5A563">
      <w:pPr>
        <w:pStyle w:val="2"/>
        <w:numPr>
          <w:ilvl w:val="1"/>
          <w:numId w:val="0"/>
        </w:numPr>
        <w:ind w:left="240"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（一）接口服务</w:t>
      </w:r>
    </w:p>
    <w:p w14:paraId="3B60E501">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质保期内本项目内所有系统应免费与第三方系统对接。</w:t>
      </w:r>
    </w:p>
    <w:p w14:paraId="2801B263">
      <w:pPr>
        <w:pStyle w:val="7"/>
        <w:spacing w:line="460" w:lineRule="exact"/>
        <w:ind w:firstLine="56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要求对原有系统中必要的业务数据进行迁移，所涉及原有系统厂商迁移费用包含在本项目内。原厂家配合完成以下工作：确定迁移数据范围、后期数据抽取。</w:t>
      </w:r>
    </w:p>
    <w:p w14:paraId="5CCB6084">
      <w:pPr>
        <w:pStyle w:val="2"/>
        <w:numPr>
          <w:ilvl w:val="1"/>
          <w:numId w:val="0"/>
        </w:numPr>
        <w:ind w:left="240" w:leftChars="0"/>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（二）成果交付要求</w:t>
      </w:r>
    </w:p>
    <w:p w14:paraId="0E4BAAB0">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按医院对应模块阶段验收，基于医院需求，根据实施阶段对应验收确认。</w:t>
      </w:r>
      <w:r>
        <w:rPr>
          <w:rFonts w:hint="eastAsia" w:ascii="仿宋" w:hAnsi="仿宋" w:eastAsia="仿宋" w:cs="仿宋"/>
          <w:color w:val="auto"/>
          <w:sz w:val="24"/>
          <w:szCs w:val="24"/>
          <w:highlight w:val="none"/>
          <w:lang w:val="en-US" w:eastAsia="zh-CN"/>
        </w:rPr>
        <w:t>交付内容</w:t>
      </w:r>
      <w:r>
        <w:rPr>
          <w:rFonts w:hint="eastAsia" w:ascii="仿宋" w:hAnsi="仿宋" w:eastAsia="仿宋" w:cs="仿宋"/>
          <w:color w:val="auto"/>
          <w:sz w:val="24"/>
          <w:szCs w:val="24"/>
          <w:highlight w:val="none"/>
        </w:rPr>
        <w:t>包括：</w:t>
      </w:r>
    </w:p>
    <w:p w14:paraId="13F69BF1">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保密协议</w:t>
      </w:r>
    </w:p>
    <w:p w14:paraId="5A082697">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甲乙双方需要签订的信息安全保密协议及乙方个人与乙方公司之间安全保密承诺书</w:t>
      </w:r>
    </w:p>
    <w:p w14:paraId="40262239">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开工申请/进场申请</w:t>
      </w:r>
    </w:p>
    <w:p w14:paraId="02922173">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需求调研/调研报告</w:t>
      </w:r>
    </w:p>
    <w:p w14:paraId="55928A1B">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.技术方案（1概要设计2总体设计3详细设计4数据库设计5数据备份）</w:t>
      </w:r>
    </w:p>
    <w:p w14:paraId="2874C513">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.实施方案{1.实施计划（实施进度、安排</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人员安排</w:t>
      </w:r>
      <w:r>
        <w:rPr>
          <w:rFonts w:hint="eastAsia" w:ascii="仿宋" w:hAnsi="仿宋" w:eastAsia="仿宋" w:cs="仿宋"/>
          <w:color w:val="auto"/>
          <w:sz w:val="24"/>
          <w:szCs w:val="24"/>
          <w:highlight w:val="none"/>
        </w:rPr>
        <w:t>)2.实施安全措施3.实施制度管理4.会议纪要</w:t>
      </w:r>
      <w:r>
        <w:rPr>
          <w:rFonts w:hint="eastAsia" w:ascii="仿宋" w:hAnsi="仿宋" w:eastAsia="仿宋" w:cs="仿宋"/>
          <w:color w:val="auto"/>
          <w:sz w:val="24"/>
          <w:szCs w:val="24"/>
          <w:highlight w:val="none"/>
          <w:lang w:val="en-US" w:eastAsia="zh-CN"/>
        </w:rPr>
        <w:t xml:space="preserve"> 5.应急方案 6.项目部署与维护</w:t>
      </w:r>
      <w:r>
        <w:rPr>
          <w:rFonts w:hint="eastAsia" w:ascii="仿宋" w:hAnsi="仿宋" w:eastAsia="仿宋" w:cs="仿宋"/>
          <w:color w:val="auto"/>
          <w:sz w:val="24"/>
          <w:szCs w:val="24"/>
          <w:highlight w:val="none"/>
        </w:rPr>
        <w:t>}</w:t>
      </w:r>
    </w:p>
    <w:p w14:paraId="11429742">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.测试报告</w:t>
      </w:r>
    </w:p>
    <w:p w14:paraId="63448D3C">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.上线前自检报告</w:t>
      </w:r>
    </w:p>
    <w:p w14:paraId="6F5907F2">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.试运行申请</w:t>
      </w:r>
    </w:p>
    <w:p w14:paraId="3F10E8C6">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.用户使用报告（试运行报告，如有初验加上初验报告)</w:t>
      </w:r>
    </w:p>
    <w:p w14:paraId="2705053F">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.系统的操作说明书/产品说明书（如果有硬件，要附产品说明书和合格证以及检测报告)</w:t>
      </w:r>
    </w:p>
    <w:p w14:paraId="538099AC">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.培训方案（签到、讲义、照片和考核结果）</w:t>
      </w:r>
    </w:p>
    <w:p w14:paraId="3CE183E1">
      <w:pPr>
        <w:pStyle w:val="7"/>
        <w:spacing w:line="460" w:lineRule="exact"/>
        <w:ind w:firstLine="56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.软、硬件交接清单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软件许可和硬件清单</w:t>
      </w:r>
      <w:r>
        <w:rPr>
          <w:rFonts w:hint="eastAsia" w:ascii="仿宋" w:hAnsi="仿宋" w:eastAsia="仿宋" w:cs="仿宋"/>
          <w:color w:val="auto"/>
          <w:sz w:val="24"/>
          <w:szCs w:val="24"/>
          <w:highlight w:val="none"/>
          <w:lang w:eastAsia="zh-CN"/>
        </w:rPr>
        <w:t>）</w:t>
      </w:r>
    </w:p>
    <w:p w14:paraId="1A5C3C78">
      <w:pPr>
        <w:pStyle w:val="7"/>
        <w:spacing w:line="460" w:lineRule="exact"/>
        <w:ind w:firstLine="5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.其他资料（</w:t>
      </w:r>
      <w:r>
        <w:rPr>
          <w:rFonts w:hint="eastAsia" w:ascii="仿宋" w:hAnsi="仿宋" w:eastAsia="仿宋" w:cs="仿宋"/>
          <w:color w:val="auto"/>
          <w:sz w:val="24"/>
          <w:szCs w:val="24"/>
          <w:highlight w:val="none"/>
          <w:lang w:val="en-US" w:eastAsia="zh-CN"/>
        </w:rPr>
        <w:t>变更、</w:t>
      </w:r>
      <w:r>
        <w:rPr>
          <w:rFonts w:hint="eastAsia" w:ascii="仿宋" w:hAnsi="仿宋" w:eastAsia="仿宋" w:cs="仿宋"/>
          <w:color w:val="auto"/>
          <w:sz w:val="24"/>
          <w:szCs w:val="24"/>
          <w:highlight w:val="none"/>
        </w:rPr>
        <w:t>初验、监理、验收申请等等</w:t>
      </w:r>
      <w:r>
        <w:rPr>
          <w:rFonts w:hint="eastAsia" w:ascii="仿宋" w:hAnsi="仿宋" w:eastAsia="仿宋" w:cs="仿宋"/>
          <w:color w:val="auto"/>
          <w:sz w:val="24"/>
          <w:szCs w:val="24"/>
          <w:highlight w:val="none"/>
          <w:lang w:eastAsia="zh-CN"/>
        </w:rPr>
        <w:t>）</w:t>
      </w:r>
    </w:p>
    <w:p w14:paraId="485F326B">
      <w:pPr>
        <w:pStyle w:val="2"/>
        <w:numPr>
          <w:ilvl w:val="1"/>
          <w:numId w:val="0"/>
        </w:numPr>
        <w:ind w:left="240" w:leftChars="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（三）项目质量控制保障要求</w:t>
      </w:r>
    </w:p>
    <w:p w14:paraId="4322EC6D">
      <w:pPr>
        <w:pStyle w:val="7"/>
        <w:spacing w:line="46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需建立系统的质量保证体系，要求质量保证贯穿整个系统每一个项目工作的全过程，需提供详细的项目质量控制保障措施。</w:t>
      </w:r>
    </w:p>
    <w:p w14:paraId="6C8E6370">
      <w:pPr>
        <w:pStyle w:val="2"/>
        <w:numPr>
          <w:ilvl w:val="1"/>
          <w:numId w:val="0"/>
        </w:numPr>
        <w:ind w:left="240" w:leftChars="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（四）数据库要求</w:t>
      </w:r>
    </w:p>
    <w:p w14:paraId="0925F403">
      <w:pPr>
        <w:tabs>
          <w:tab w:val="left" w:pos="480"/>
        </w:tabs>
        <w:spacing w:line="360" w:lineRule="auto"/>
        <w:ind w:firstLine="480" w:firstLineChars="200"/>
        <w:outlineLvl w:val="0"/>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szCs w:val="24"/>
          <w:highlight w:val="none"/>
          <w:lang w:val="en-US" w:eastAsia="zh-CN"/>
        </w:rPr>
        <w:t>中标方负责提供与本项目适配的数据库。</w:t>
      </w:r>
    </w:p>
    <w:p w14:paraId="1381C67D">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七</w:t>
      </w:r>
      <w:r>
        <w:rPr>
          <w:rFonts w:hint="eastAsia" w:ascii="仿宋" w:hAnsi="仿宋" w:eastAsia="仿宋" w:cs="仿宋"/>
          <w:b/>
          <w:bCs/>
          <w:color w:val="auto"/>
          <w:sz w:val="24"/>
          <w:highlight w:val="none"/>
        </w:rPr>
        <w:t>、双方的权利和义务</w:t>
      </w:r>
    </w:p>
    <w:p w14:paraId="4CB1D19D">
      <w:pPr>
        <w:tabs>
          <w:tab w:val="left" w:pos="480"/>
        </w:tabs>
        <w:spacing w:line="360" w:lineRule="auto"/>
        <w:ind w:firstLine="482" w:firstLineChars="200"/>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（一）甲方的权利和义务</w:t>
      </w:r>
    </w:p>
    <w:p w14:paraId="73311B0B">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1、甲方保证提供给乙方的资料、信息内容合法，不侵犯第三方的合法权益。</w:t>
      </w:r>
    </w:p>
    <w:p w14:paraId="16DCE50E">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2、甲方使用乙方的产品产生的数据归属于甲方。</w:t>
      </w:r>
    </w:p>
    <w:p w14:paraId="798089F2">
      <w:pPr>
        <w:tabs>
          <w:tab w:val="left" w:pos="480"/>
        </w:tabs>
        <w:spacing w:line="360" w:lineRule="auto"/>
        <w:ind w:firstLine="480" w:firstLineChars="200"/>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3、甲方有权对乙方提供的投标资料进行验证，若发现有弄虚作假，则按《政府采购法》相关条款处理。</w:t>
      </w:r>
    </w:p>
    <w:p w14:paraId="3CB6324E">
      <w:pPr>
        <w:tabs>
          <w:tab w:val="left" w:pos="480"/>
        </w:tabs>
        <w:spacing w:line="360" w:lineRule="auto"/>
        <w:ind w:firstLine="482" w:firstLineChars="200"/>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（二）乙方的权利和义务</w:t>
      </w:r>
    </w:p>
    <w:p w14:paraId="18E92513">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应保证投标服务及货物不会出现因第三方提出侵犯其专利权、商标权或其它知识产权而引发法律或经济纠纷，否则由乙方承担全部责任。任何被乙方用于未经授权的商业目的行为所造成的违约或侵权责任由乙方承担。如因乙方原因致使甲方遭受第三方追诉的，视为乙方根本违约，甲方有权单方解除本合同，同时有权要求乙方按照合同总价的【</w:t>
      </w:r>
      <w:r>
        <w:rPr>
          <w:rFonts w:hint="eastAsia" w:ascii="仿宋" w:hAnsi="仿宋" w:eastAsia="仿宋" w:cs="仿宋"/>
          <w:color w:val="auto"/>
          <w:sz w:val="24"/>
          <w:highlight w:val="none"/>
          <w:lang w:val="en-US" w:eastAsia="zh-CN"/>
        </w:rPr>
        <w:t>20</w:t>
      </w:r>
      <w:r>
        <w:rPr>
          <w:rFonts w:hint="eastAsia" w:ascii="仿宋" w:hAnsi="仿宋" w:eastAsia="仿宋" w:cs="仿宋"/>
          <w:color w:val="auto"/>
          <w:sz w:val="24"/>
          <w:highlight w:val="none"/>
        </w:rPr>
        <w:t>】%向甲方支付违约金，违约金不足以赔偿甲方损失的，由乙方另行承担。</w:t>
      </w:r>
    </w:p>
    <w:p w14:paraId="2B07BAF4">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2、乙方按照本合同约定在履行系统维护和技术服务的过程中，不允许利用甲方提供的工作条件和相关资料进行与本项目无关的工作。如因乙方原因致使甲方遭受经济损失及法律追诉的，由乙方承担一切责任。</w:t>
      </w:r>
    </w:p>
    <w:p w14:paraId="256823EE">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八</w:t>
      </w:r>
      <w:r>
        <w:rPr>
          <w:rFonts w:hint="eastAsia" w:ascii="仿宋" w:hAnsi="仿宋" w:eastAsia="仿宋" w:cs="仿宋"/>
          <w:b/>
          <w:bCs/>
          <w:color w:val="auto"/>
          <w:sz w:val="24"/>
          <w:highlight w:val="none"/>
        </w:rPr>
        <w:t>、质量保证</w:t>
      </w:r>
    </w:p>
    <w:p w14:paraId="390BB225">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（一）保证技术指标先进、质量性能可靠、进货渠道正常、功能齐全、配置合理，全面满足甲方技术要求。</w:t>
      </w:r>
    </w:p>
    <w:p w14:paraId="0F51A8A7">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（二）符合国家有关规范要求，确保达到最佳运行状态。</w:t>
      </w:r>
    </w:p>
    <w:p w14:paraId="41411ABB">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（三）乙方提供的产品，若发生侵权而产生的一切后果，由乙方负责，甲方保留索赔权利。</w:t>
      </w:r>
    </w:p>
    <w:p w14:paraId="1ADFCA73">
      <w:pPr>
        <w:tabs>
          <w:tab w:val="left" w:pos="480"/>
        </w:tabs>
        <w:spacing w:line="360" w:lineRule="auto"/>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ab/>
      </w:r>
      <w:r>
        <w:rPr>
          <w:rFonts w:hint="eastAsia" w:ascii="仿宋" w:hAnsi="仿宋" w:eastAsia="仿宋" w:cs="仿宋"/>
          <w:b/>
          <w:bCs/>
          <w:color w:val="auto"/>
          <w:sz w:val="24"/>
          <w:highlight w:val="none"/>
          <w:lang w:val="en-US" w:eastAsia="zh-CN"/>
        </w:rPr>
        <w:t>九</w:t>
      </w:r>
      <w:r>
        <w:rPr>
          <w:rFonts w:hint="eastAsia" w:ascii="仿宋" w:hAnsi="仿宋" w:eastAsia="仿宋" w:cs="仿宋"/>
          <w:b/>
          <w:bCs/>
          <w:color w:val="auto"/>
          <w:sz w:val="24"/>
          <w:highlight w:val="none"/>
        </w:rPr>
        <w:t>、安全及保密</w:t>
      </w:r>
    </w:p>
    <w:p w14:paraId="65F0CF1C">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保密要求：乙方应保证对甲方提供的资料，以及对项目实施过程中知悉的秘密（包括不限于国家秘密、科研秘密、商业秘密、群众个人信息等所有秘密）履行保密义务，不得就所涉及的秘密及敏感信息以单位或者个人名义公开披露和公开发表观点。乙方保证不将因履行本协议而获得的甲方数据用作履行本协议以外的其他用途。所有乙方因履行本协议而获取的甲方数据、文档、信息（包括但不限于甲方经营信息、患者信息）等，其所有权均归甲方所有，若乙方泄露甲方数据或将甲方数据用作履行本协议以外的其他用途的，应视为乙方违约，乙方应赔偿由此给甲方造成的全部损失，并按合同总价的【10】%向甲方支付违约金。本合同的终止、解除不影响本条款的效力。</w:t>
      </w:r>
    </w:p>
    <w:p w14:paraId="549111FF">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（二）乙方负责对本公司所有实施人员、巡检人员进行安全教育，如发生任何意外或事故，乙方承担全部医疗费用、法律责任、经济赔偿。若甲方因此遭受任何损失的，乙方应承担全部赔偿责任。</w:t>
      </w:r>
    </w:p>
    <w:p w14:paraId="7B9AEC17">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（三）项目实施期间，乙方必须保证</w:t>
      </w:r>
      <w:r>
        <w:rPr>
          <w:rFonts w:hint="eastAsia" w:ascii="仿宋" w:hAnsi="仿宋" w:eastAsia="仿宋" w:cs="仿宋"/>
          <w:color w:val="auto"/>
          <w:sz w:val="24"/>
          <w:highlight w:val="none"/>
          <w:lang w:val="en-US" w:eastAsia="zh-CN"/>
        </w:rPr>
        <w:t>乙方所供</w:t>
      </w:r>
      <w:r>
        <w:rPr>
          <w:rFonts w:hint="eastAsia" w:ascii="仿宋" w:hAnsi="仿宋" w:eastAsia="仿宋" w:cs="仿宋"/>
          <w:color w:val="auto"/>
          <w:sz w:val="24"/>
          <w:highlight w:val="none"/>
        </w:rPr>
        <w:t>信息系统、信息设备运行安全及稳定。如造成重大事故，即信息系统或设备停止运行超过【</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】小时，乙方应赔偿由此给甲方造成的全部损失，若单次</w:t>
      </w:r>
      <w:r>
        <w:rPr>
          <w:rFonts w:hint="eastAsia" w:ascii="仿宋" w:hAnsi="仿宋" w:eastAsia="仿宋" w:cs="仿宋"/>
          <w:color w:val="auto"/>
          <w:sz w:val="24"/>
          <w:highlight w:val="none"/>
          <w:lang w:val="en-US" w:eastAsia="zh-CN"/>
        </w:rPr>
        <w:t>信息系统</w:t>
      </w:r>
      <w:r>
        <w:rPr>
          <w:rFonts w:hint="eastAsia" w:ascii="仿宋" w:hAnsi="仿宋" w:eastAsia="仿宋" w:cs="仿宋"/>
          <w:color w:val="auto"/>
          <w:sz w:val="24"/>
          <w:highlight w:val="none"/>
        </w:rPr>
        <w:t>停止运行超过【</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】小时，或合同履行期内前述情形累计达到【</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次的，视为乙方根本违约，甲方有权单方面解除合同（合同自书面解除通知送达乙方之日起解除），乙方应承担解除合同给甲方造成的全部损失（包括但不限于重新采购产生的费用、合同未履行导致产品不能按规划交付使用及其它由此造成的甲方对第三方的违约损失），并按合同总价的【</w:t>
      </w:r>
      <w:r>
        <w:rPr>
          <w:rFonts w:hint="eastAsia" w:ascii="仿宋" w:hAnsi="仿宋" w:eastAsia="仿宋" w:cs="仿宋"/>
          <w:color w:val="auto"/>
          <w:sz w:val="24"/>
          <w:highlight w:val="none"/>
          <w:lang w:val="en-US" w:eastAsia="zh-CN"/>
        </w:rPr>
        <w:t>20</w:t>
      </w:r>
      <w:r>
        <w:rPr>
          <w:rFonts w:hint="eastAsia" w:ascii="仿宋" w:hAnsi="仿宋" w:eastAsia="仿宋" w:cs="仿宋"/>
          <w:color w:val="auto"/>
          <w:sz w:val="24"/>
          <w:highlight w:val="none"/>
        </w:rPr>
        <w:t>】%支付违约金。</w:t>
      </w:r>
    </w:p>
    <w:p w14:paraId="155D952E">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十、违约责任</w:t>
      </w:r>
    </w:p>
    <w:p w14:paraId="14CAD845">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（一）按《中华人民共和国民法典》中的相关条款执行。</w:t>
      </w:r>
    </w:p>
    <w:p w14:paraId="3BDC46DF">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未按合同要求提供货物、服务，或提供的货物质量、功能不能满足本合同、招标文件、投标文件等相关文件技术要求的，视为乙方根本违约，甲方有权解除本合同，乙方应赔偿解除合同给甲方造成的全部损失（包括但不限于重新采购产生的费用、合同未履行导致产品不能按规划交付使用及其它由此造成的甲方对第三方的违约损失），并按照合同总价的【</w:t>
      </w:r>
      <w:r>
        <w:rPr>
          <w:rFonts w:hint="eastAsia" w:ascii="仿宋" w:hAnsi="仿宋" w:eastAsia="仿宋" w:cs="仿宋"/>
          <w:color w:val="auto"/>
          <w:sz w:val="24"/>
          <w:highlight w:val="none"/>
          <w:lang w:val="en-US" w:eastAsia="zh-CN"/>
        </w:rPr>
        <w:t>20</w:t>
      </w:r>
      <w:r>
        <w:rPr>
          <w:rFonts w:hint="eastAsia" w:ascii="仿宋" w:hAnsi="仿宋" w:eastAsia="仿宋" w:cs="仿宋"/>
          <w:color w:val="auto"/>
          <w:sz w:val="24"/>
          <w:highlight w:val="none"/>
        </w:rPr>
        <w:t>】%支付违约金。</w:t>
      </w:r>
    </w:p>
    <w:p w14:paraId="41DA1461">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同时甲方有权按《政府采购法》有关处罚条款报监管机构进行相应的处罚。</w:t>
      </w:r>
    </w:p>
    <w:p w14:paraId="49825619">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（三）乙方应严格按照合同约定的期限</w:t>
      </w:r>
      <w:r>
        <w:rPr>
          <w:rFonts w:hint="eastAsia" w:ascii="仿宋" w:hAnsi="仿宋" w:eastAsia="仿宋" w:cs="仿宋"/>
          <w:color w:val="auto"/>
          <w:sz w:val="24"/>
          <w:highlight w:val="none"/>
          <w:lang w:val="en-US" w:eastAsia="zh-CN"/>
        </w:rPr>
        <w:t>完成全部工作、</w:t>
      </w:r>
      <w:r>
        <w:rPr>
          <w:rFonts w:hint="eastAsia" w:ascii="仿宋" w:hAnsi="仿宋" w:eastAsia="仿宋" w:cs="仿宋"/>
          <w:color w:val="auto"/>
          <w:sz w:val="24"/>
          <w:highlight w:val="none"/>
        </w:rPr>
        <w:t>交付全部货物并经甲方验收合格，否则，每逾期一天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包括未按合同约定的时限完成第一、第二阶段工作</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，按合同总价的【</w:t>
      </w:r>
      <w:r>
        <w:rPr>
          <w:rFonts w:hint="eastAsia" w:ascii="仿宋" w:hAnsi="仿宋" w:eastAsia="仿宋" w:cs="仿宋"/>
          <w:color w:val="auto"/>
          <w:sz w:val="24"/>
          <w:highlight w:val="none"/>
          <w:lang w:val="en-US" w:eastAsia="zh-CN"/>
        </w:rPr>
        <w:t>0.05</w:t>
      </w:r>
      <w:r>
        <w:rPr>
          <w:rFonts w:hint="eastAsia" w:ascii="仿宋" w:hAnsi="仿宋" w:eastAsia="仿宋" w:cs="仿宋"/>
          <w:color w:val="auto"/>
          <w:sz w:val="24"/>
          <w:highlight w:val="none"/>
        </w:rPr>
        <w:t>】%/天向甲方支付违约金，累计逾期达到【</w:t>
      </w:r>
      <w:r>
        <w:rPr>
          <w:rFonts w:hint="eastAsia" w:ascii="仿宋" w:hAnsi="仿宋" w:eastAsia="仿宋" w:cs="仿宋"/>
          <w:color w:val="auto"/>
          <w:sz w:val="24"/>
          <w:highlight w:val="none"/>
          <w:lang w:val="en-US" w:eastAsia="zh-CN"/>
        </w:rPr>
        <w:t>30</w:t>
      </w:r>
      <w:r>
        <w:rPr>
          <w:rFonts w:hint="eastAsia" w:ascii="仿宋" w:hAnsi="仿宋" w:eastAsia="仿宋" w:cs="仿宋"/>
          <w:color w:val="auto"/>
          <w:sz w:val="24"/>
          <w:highlight w:val="none"/>
        </w:rPr>
        <w:t>】天的，视为乙方根本违约，甲方有权单方解除本合同，合同解除后乙方应按照合同总价的【</w:t>
      </w:r>
      <w:r>
        <w:rPr>
          <w:rFonts w:hint="eastAsia" w:ascii="仿宋" w:hAnsi="仿宋" w:eastAsia="仿宋" w:cs="仿宋"/>
          <w:color w:val="auto"/>
          <w:sz w:val="24"/>
          <w:highlight w:val="none"/>
          <w:lang w:val="en-US" w:eastAsia="zh-CN"/>
        </w:rPr>
        <w:t>20</w:t>
      </w:r>
      <w:r>
        <w:rPr>
          <w:rFonts w:hint="eastAsia" w:ascii="仿宋" w:hAnsi="仿宋" w:eastAsia="仿宋" w:cs="仿宋"/>
          <w:color w:val="auto"/>
          <w:sz w:val="24"/>
          <w:highlight w:val="none"/>
        </w:rPr>
        <w:t>】%向甲方支付支付违约金，若违约金不足以弥补甲方全部损失全部损失（包括但不限于重新采购产生的费用、合同未履行导致产品不能按规划交付使用及其它由此造成的甲方对第三方的违约损失），由乙方另行承担。</w:t>
      </w:r>
    </w:p>
    <w:p w14:paraId="03A04D6D">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（四）在合同期限内，未经甲方同意，乙方不得转包、分包本合同项下的合同义务，否则甲方有权依据本条第（二）款之约定单方解除本合同并有权要求乙方承担违约责任。</w:t>
      </w:r>
    </w:p>
    <w:p w14:paraId="4B34D9D0">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（五）乙方违约时，甲方为主张权利而支出的律师费、保全费、保全保险费、差旅费等费用由乙方承担。</w:t>
      </w:r>
    </w:p>
    <w:p w14:paraId="55C57F86">
      <w:pPr>
        <w:tabs>
          <w:tab w:val="left" w:pos="48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项目所供软硬件如因“时间炸弹”问题导致医院业务受损等，所造成的一切损失由乙方承担。系统每停</w:t>
      </w:r>
      <w:r>
        <w:rPr>
          <w:rFonts w:hint="eastAsia" w:ascii="仿宋" w:hAnsi="仿宋" w:eastAsia="仿宋" w:cs="仿宋"/>
          <w:color w:val="auto"/>
          <w:sz w:val="24"/>
          <w:highlight w:val="none"/>
        </w:rPr>
        <w:t>一天，</w:t>
      </w:r>
      <w:r>
        <w:rPr>
          <w:rFonts w:hint="eastAsia" w:ascii="仿宋" w:hAnsi="仿宋" w:eastAsia="仿宋" w:cs="仿宋"/>
          <w:color w:val="auto"/>
          <w:sz w:val="24"/>
          <w:highlight w:val="none"/>
          <w:lang w:val="en-US" w:eastAsia="zh-CN"/>
        </w:rPr>
        <w:t>乙方需</w:t>
      </w:r>
      <w:r>
        <w:rPr>
          <w:rFonts w:hint="eastAsia" w:ascii="仿宋" w:hAnsi="仿宋" w:eastAsia="仿宋" w:cs="仿宋"/>
          <w:color w:val="auto"/>
          <w:sz w:val="24"/>
          <w:highlight w:val="none"/>
        </w:rPr>
        <w:t>按合同总价的【</w:t>
      </w:r>
      <w:r>
        <w:rPr>
          <w:rFonts w:hint="eastAsia" w:ascii="仿宋" w:hAnsi="仿宋" w:eastAsia="仿宋" w:cs="仿宋"/>
          <w:color w:val="auto"/>
          <w:sz w:val="24"/>
          <w:highlight w:val="none"/>
          <w:lang w:val="en-US" w:eastAsia="zh-CN"/>
        </w:rPr>
        <w:t>0.05</w:t>
      </w:r>
      <w:r>
        <w:rPr>
          <w:rFonts w:hint="eastAsia" w:ascii="仿宋" w:hAnsi="仿宋" w:eastAsia="仿宋" w:cs="仿宋"/>
          <w:color w:val="auto"/>
          <w:sz w:val="24"/>
          <w:highlight w:val="none"/>
        </w:rPr>
        <w:t>】%/天向甲方支付违约金</w:t>
      </w:r>
      <w:r>
        <w:rPr>
          <w:rFonts w:hint="eastAsia" w:ascii="仿宋" w:hAnsi="仿宋" w:eastAsia="仿宋" w:cs="仿宋"/>
          <w:color w:val="auto"/>
          <w:sz w:val="24"/>
          <w:highlight w:val="none"/>
          <w:lang w:eastAsia="zh-CN"/>
        </w:rPr>
        <w:t>。</w:t>
      </w:r>
    </w:p>
    <w:p w14:paraId="48F9BC34">
      <w:pPr>
        <w:tabs>
          <w:tab w:val="left" w:pos="480"/>
        </w:tabs>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项目所供软件需为永久授权，且无版权纠纷，如因授权及版权问题导致医院业务受损，所造成的一切损失由乙方承担。</w:t>
      </w:r>
    </w:p>
    <w:p w14:paraId="734A6C45">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十一、合同争议的解决</w:t>
      </w:r>
    </w:p>
    <w:p w14:paraId="55BF58B8">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合同执行中发生争议的，当事人双方应协商解决，协商达不成一致时，向甲方所在地人民法院提请诉讼。</w:t>
      </w:r>
    </w:p>
    <w:p w14:paraId="01EC299C">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十二、合同生效</w:t>
      </w:r>
    </w:p>
    <w:p w14:paraId="159F3BB5">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合同一式</w:t>
      </w:r>
      <w:r>
        <w:rPr>
          <w:rFonts w:hint="eastAsia" w:ascii="仿宋" w:hAnsi="仿宋" w:eastAsia="仿宋" w:cs="仿宋"/>
          <w:b/>
          <w:bCs/>
          <w:color w:val="auto"/>
          <w:sz w:val="24"/>
          <w:highlight w:val="none"/>
          <w:u w:val="single"/>
          <w:lang w:val="en-US" w:eastAsia="zh-CN"/>
        </w:rPr>
        <w:t>拾</w:t>
      </w:r>
      <w:r>
        <w:rPr>
          <w:rFonts w:hint="eastAsia" w:ascii="仿宋" w:hAnsi="仿宋" w:eastAsia="仿宋" w:cs="仿宋"/>
          <w:color w:val="auto"/>
          <w:sz w:val="24"/>
          <w:highlight w:val="none"/>
        </w:rPr>
        <w:t>份，甲方</w:t>
      </w:r>
      <w:r>
        <w:rPr>
          <w:rFonts w:hint="eastAsia" w:ascii="仿宋" w:hAnsi="仿宋" w:eastAsia="仿宋" w:cs="仿宋"/>
          <w:b/>
          <w:bCs/>
          <w:color w:val="auto"/>
          <w:sz w:val="24"/>
          <w:highlight w:val="none"/>
          <w:u w:val="single"/>
          <w:lang w:val="en-US" w:eastAsia="zh-CN"/>
        </w:rPr>
        <w:t>柒</w:t>
      </w:r>
      <w:r>
        <w:rPr>
          <w:rFonts w:hint="eastAsia" w:ascii="仿宋" w:hAnsi="仿宋" w:eastAsia="仿宋" w:cs="仿宋"/>
          <w:color w:val="auto"/>
          <w:sz w:val="24"/>
          <w:highlight w:val="none"/>
        </w:rPr>
        <w:t>份，乙方</w:t>
      </w:r>
      <w:r>
        <w:rPr>
          <w:rFonts w:hint="eastAsia" w:ascii="仿宋" w:hAnsi="仿宋" w:eastAsia="仿宋" w:cs="仿宋"/>
          <w:b/>
          <w:bCs/>
          <w:color w:val="auto"/>
          <w:sz w:val="24"/>
          <w:highlight w:val="none"/>
          <w:u w:val="single"/>
          <w:lang w:val="en-US" w:eastAsia="zh-CN"/>
        </w:rPr>
        <w:t>叁</w:t>
      </w:r>
      <w:r>
        <w:rPr>
          <w:rFonts w:hint="eastAsia" w:ascii="仿宋" w:hAnsi="仿宋" w:eastAsia="仿宋" w:cs="仿宋"/>
          <w:color w:val="auto"/>
          <w:sz w:val="24"/>
          <w:highlight w:val="none"/>
        </w:rPr>
        <w:t>份。合同经甲方、乙方签字盖章后生效，合同执行完毕后，自动终止（合同的服务承诺则长期有效）。</w:t>
      </w:r>
    </w:p>
    <w:p w14:paraId="3163934E">
      <w:pPr>
        <w:tabs>
          <w:tab w:val="left" w:pos="480"/>
        </w:tabs>
        <w:spacing w:line="360" w:lineRule="auto"/>
        <w:ind w:firstLine="482" w:firstLineChars="200"/>
        <w:outlineLvl w:val="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十三、其他事项</w:t>
      </w:r>
    </w:p>
    <w:p w14:paraId="46AB4D0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（一）招标文件、投标文件、澄清表（函）、中标通知书、合同附件均成为合同不可分割的部分，与本合同具有同等法律效力。</w:t>
      </w:r>
    </w:p>
    <w:p w14:paraId="0ABFDC27">
      <w:pPr>
        <w:tabs>
          <w:tab w:val="left" w:pos="480"/>
        </w:tabs>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（二）本合同未尽事宜，由甲、乙双方协商，经鉴证方确认后，签订补充协议作为合同补充，补充协议与原合同具有同等法律效力，补充协议与本合同不一致的，以补充协议为准。</w:t>
      </w:r>
    </w:p>
    <w:p w14:paraId="64E7C4FD">
      <w:pPr>
        <w:tabs>
          <w:tab w:val="left" w:pos="480"/>
        </w:tabs>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（三）本合同按照中华人民共和国的现行法律进行解释。</w:t>
      </w:r>
    </w:p>
    <w:p w14:paraId="10160FA3">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highlight w:val="none"/>
        </w:rPr>
        <w:t>（四）本合同附件作为本合同的组成部份，与本合同具有同等法律效力。</w:t>
      </w:r>
    </w:p>
    <w:p w14:paraId="01D4A087">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2299DD1F">
      <w:pPr>
        <w:numPr>
          <w:ilvl w:val="-1"/>
          <w:numId w:val="0"/>
        </w:numPr>
        <w:tabs>
          <w:tab w:val="left" w:pos="480"/>
        </w:tabs>
        <w:spacing w:line="560" w:lineRule="exact"/>
        <w:ind w:firstLine="0" w:firstLineChars="0"/>
        <w:rPr>
          <w:rFonts w:hint="default" w:ascii="宋体" w:hAnsi="宋体" w:eastAsia="宋体" w:cs="宋体"/>
          <w:b w:val="0"/>
          <w:bCs w:val="0"/>
          <w:color w:val="auto"/>
          <w:sz w:val="21"/>
          <w:szCs w:val="21"/>
          <w:highlight w:val="none"/>
          <w:lang w:val="en-US" w:eastAsia="zh-CN"/>
        </w:rPr>
      </w:pPr>
    </w:p>
    <w:p w14:paraId="1ED276F8">
      <w:pPr>
        <w:tabs>
          <w:tab w:val="left" w:pos="480"/>
        </w:tabs>
        <w:spacing w:line="560" w:lineRule="exact"/>
        <w:ind w:firstLine="480" w:firstLineChars="200"/>
        <w:rPr>
          <w:rFonts w:ascii="宋体" w:hAnsi="宋体" w:eastAsia="宋体" w:cs="仿宋"/>
          <w:color w:val="auto"/>
          <w:sz w:val="24"/>
          <w:highlight w:val="none"/>
        </w:rPr>
      </w:pPr>
    </w:p>
    <w:p w14:paraId="427054D5">
      <w:pPr>
        <w:rPr>
          <w:rFonts w:hint="eastAsia"/>
          <w:color w:val="auto"/>
          <w:highlight w:val="none"/>
        </w:rPr>
      </w:pPr>
      <w:r>
        <w:rPr>
          <w:rFonts w:ascii="仿宋_GB2312" w:hAnsi="仿宋_GB2312" w:eastAsia="仿宋_GB2312" w:cs="仿宋_GB2312"/>
          <w:color w:val="auto"/>
          <w:highlight w:val="none"/>
        </w:rPr>
        <w:br w:type="page"/>
      </w:r>
    </w:p>
    <w:p w14:paraId="04D99C04">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采购人（甲方）：</w:t>
      </w:r>
      <w:r>
        <w:rPr>
          <w:rFonts w:hint="eastAsia" w:ascii="仿宋" w:hAnsi="仿宋" w:eastAsia="仿宋" w:cs="仿宋"/>
          <w:color w:val="auto"/>
          <w:sz w:val="20"/>
          <w:szCs w:val="20"/>
          <w:highlight w:val="none"/>
          <w:u w:val="single"/>
        </w:rPr>
        <w:t xml:space="preserve">   （盖章）       </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u w:val="single"/>
        </w:rPr>
        <w:t xml:space="preserve">   （盖章）         </w:t>
      </w:r>
    </w:p>
    <w:p w14:paraId="05717A66">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地址：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地址：</w:t>
      </w:r>
      <w:r>
        <w:rPr>
          <w:rFonts w:hint="eastAsia" w:ascii="仿宋" w:hAnsi="仿宋" w:eastAsia="仿宋" w:cs="仿宋"/>
          <w:color w:val="auto"/>
          <w:sz w:val="20"/>
          <w:szCs w:val="20"/>
          <w:highlight w:val="none"/>
          <w:u w:val="single"/>
        </w:rPr>
        <w:t xml:space="preserve">                   </w:t>
      </w:r>
    </w:p>
    <w:p w14:paraId="7C71DACE">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法定代表人或                             法定代表人或</w:t>
      </w:r>
    </w:p>
    <w:p w14:paraId="4BD7B269">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其授权的代理人                           其授权的代理人</w:t>
      </w:r>
    </w:p>
    <w:p w14:paraId="31483937">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（签字或盖章）：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（签字或盖章）：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5216D1">
      <w:pPr>
        <w:keepNext w:val="0"/>
        <w:keepLines w:val="0"/>
        <w:pageBreakBefore w:val="0"/>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订立时间：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             订立时间：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日 </w:t>
      </w:r>
    </w:p>
    <w:p w14:paraId="04667A04">
      <w:pPr>
        <w:pStyle w:val="6"/>
        <w:pageBreakBefore w:val="0"/>
        <w:wordWrap/>
        <w:topLinePunct w:val="0"/>
        <w:bidi w:val="0"/>
        <w:snapToGrid w:val="0"/>
        <w:spacing w:line="360" w:lineRule="auto"/>
        <w:rPr>
          <w:rFonts w:hint="eastAsia" w:ascii="仿宋" w:hAnsi="仿宋" w:eastAsia="仿宋" w:cs="仿宋"/>
          <w:color w:val="auto"/>
          <w:highlight w:val="none"/>
          <w:lang w:val="en-US" w:eastAsia="zh-Hans"/>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rPr>
        <w:br w:type="textWrapping"/>
      </w:r>
    </w:p>
    <w:p w14:paraId="3D03A7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DE2F97"/>
    <w:multiLevelType w:val="singleLevel"/>
    <w:tmpl w:val="D3DE2F97"/>
    <w:lvl w:ilvl="0" w:tentative="0">
      <w:start w:val="1"/>
      <w:numFmt w:val="chineseCounting"/>
      <w:suff w:val="nothing"/>
      <w:lvlText w:val="%1、"/>
      <w:lvlJc w:val="left"/>
      <w:rPr>
        <w:rFonts w:hint="eastAsia"/>
      </w:rPr>
    </w:lvl>
  </w:abstractNum>
  <w:abstractNum w:abstractNumId="1">
    <w:nsid w:val="67B8457F"/>
    <w:multiLevelType w:val="multilevel"/>
    <w:tmpl w:val="67B8457F"/>
    <w:lvl w:ilvl="0" w:tentative="0">
      <w:start w:val="1"/>
      <w:numFmt w:val="chineseCountingThousand"/>
      <w:suff w:val="nothing"/>
      <w:lvlText w:val="%1、"/>
      <w:lvlJc w:val="left"/>
      <w:pPr>
        <w:ind w:left="432" w:hanging="432"/>
      </w:pPr>
      <w:rPr>
        <w:rFonts w:hint="eastAsia"/>
      </w:rPr>
    </w:lvl>
    <w:lvl w:ilvl="1" w:tentative="0">
      <w:start w:val="1"/>
      <w:numFmt w:val="decimal"/>
      <w:pStyle w:val="2"/>
      <w:isLgl/>
      <w:suff w:val="space"/>
      <w:lvlText w:val="%1.%2"/>
      <w:lvlJc w:val="left"/>
      <w:pPr>
        <w:ind w:left="816" w:hanging="576"/>
      </w:pPr>
      <w:rPr>
        <w:rFonts w:hint="eastAsia"/>
      </w:rPr>
    </w:lvl>
    <w:lvl w:ilvl="2" w:tentative="0">
      <w:start w:val="1"/>
      <w:numFmt w:val="decimal"/>
      <w:isLgl/>
      <w:suff w:val="space"/>
      <w:lvlText w:val="%1.%2.%3"/>
      <w:lvlJc w:val="left"/>
      <w:pPr>
        <w:ind w:left="720" w:hanging="720"/>
      </w:pPr>
      <w:rPr>
        <w:rFonts w:hint="eastAsia"/>
      </w:rPr>
    </w:lvl>
    <w:lvl w:ilvl="3" w:tentative="0">
      <w:start w:val="1"/>
      <w:numFmt w:val="decimal"/>
      <w:isLgl/>
      <w:suff w:val="space"/>
      <w:lvlText w:val="%1.%2.%3.%4"/>
      <w:lvlJc w:val="left"/>
      <w:pPr>
        <w:ind w:left="864" w:hanging="864"/>
      </w:pPr>
      <w:rPr>
        <w:rFonts w:hint="eastAsia"/>
      </w:rPr>
    </w:lvl>
    <w:lvl w:ilvl="4" w:tentative="0">
      <w:start w:val="1"/>
      <w:numFmt w:val="decimal"/>
      <w:isLgl/>
      <w:suff w:val="space"/>
      <w:lvlText w:val="%1.%2.%3.%4.%5"/>
      <w:lvlJc w:val="left"/>
      <w:pPr>
        <w:ind w:left="1008" w:hanging="1008"/>
      </w:pPr>
      <w:rPr>
        <w:rFonts w:hint="eastAsia"/>
      </w:rPr>
    </w:lvl>
    <w:lvl w:ilvl="5" w:tentative="0">
      <w:start w:val="1"/>
      <w:numFmt w:val="decimal"/>
      <w:isLgl/>
      <w:suff w:val="space"/>
      <w:lvlText w:val="%1.%2.%3.%4.%5.%6"/>
      <w:lvlJc w:val="left"/>
      <w:pPr>
        <w:ind w:left="1152" w:hanging="1152"/>
      </w:pPr>
      <w:rPr>
        <w:rFonts w:hint="eastAsia"/>
      </w:rPr>
    </w:lvl>
    <w:lvl w:ilvl="6" w:tentative="0">
      <w:start w:val="1"/>
      <w:numFmt w:val="decimal"/>
      <w:isLgl/>
      <w:suff w:val="space"/>
      <w:lvlText w:val="%1.%2.%3.%4.%5.%6.%7"/>
      <w:lvlJc w:val="left"/>
      <w:pPr>
        <w:ind w:left="1296" w:hanging="1296"/>
      </w:pPr>
      <w:rPr>
        <w:rFonts w:hint="eastAsia"/>
      </w:rPr>
    </w:lvl>
    <w:lvl w:ilvl="7" w:tentative="0">
      <w:start w:val="1"/>
      <w:numFmt w:val="decimal"/>
      <w:isLgl/>
      <w:suff w:val="space"/>
      <w:lvlText w:val="%1.%2.%3.%4.%5.%6.%7.%8"/>
      <w:lvlJc w:val="left"/>
      <w:pPr>
        <w:ind w:left="1440" w:hanging="1440"/>
      </w:pPr>
      <w:rPr>
        <w:rFonts w:hint="eastAsia"/>
        <w:b/>
        <w:i w:val="0"/>
      </w:rPr>
    </w:lvl>
    <w:lvl w:ilvl="8" w:tentative="0">
      <w:start w:val="1"/>
      <w:numFmt w:val="decimal"/>
      <w:isLgl/>
      <w:suff w:val="space"/>
      <w:lvlText w:val="%1.%2.%3.%4.%5.%6.%7.%8.%9"/>
      <w:lvlJc w:val="left"/>
      <w:pPr>
        <w:ind w:left="1584" w:hanging="1584"/>
      </w:pPr>
      <w:rPr>
        <w:rFonts w:hint="eastAsia"/>
        <w:b/>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19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0"/>
    <w:pPr>
      <w:keepNext/>
      <w:keepLines/>
      <w:numPr>
        <w:ilvl w:val="1"/>
        <w:numId w:val="1"/>
      </w:numPr>
      <w:tabs>
        <w:tab w:val="left" w:pos="600"/>
      </w:tabs>
      <w:spacing w:before="120" w:after="120"/>
      <w:ind w:left="576" w:hanging="576"/>
      <w:jc w:val="left"/>
      <w:outlineLvl w:val="1"/>
    </w:pPr>
    <w:rPr>
      <w:rFonts w:ascii="仿宋" w:hAnsi="仿宋" w:eastAsia="仿宋"/>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3">
    <w:name w:val="标准正文"/>
    <w:basedOn w:val="1"/>
    <w:qFormat/>
    <w:uiPriority w:val="0"/>
    <w:pPr>
      <w:ind w:firstLine="480" w:firstLineChars="200"/>
    </w:pPr>
    <w:rPr>
      <w:rFonts w:ascii="宋体" w:hAnsi="宋体"/>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34"/>
    <w:pPr>
      <w:ind w:firstLine="420" w:firstLineChars="200"/>
    </w:pPr>
    <w:rPr>
      <w:rFonts w:ascii="宋体" w:hAnsi="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2025-12-19T07:04:52Z</dcterms:created>
  <dc:creator>xb19</dc:creator>
  <cp:lastModifiedBy>xb19</cp:lastModifiedBy>
  <dcterms:modified xsi:type="dcterms:W3CDTF">2025-12-19T07:05:26Z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226EBA2BCFAE442FB01BAF4204247455_12</vt:lpwstr>
  </property>
</Properties>
</file>