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版本号：SXZM-CS-202505820251208002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蓝田县普化村任家沟下游河道等5处黑臭水体治理工程监理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SXZM-CS-2025058</w:t>
      </w:r>
      <w:r>
        <w:br/>
      </w:r>
      <w:r>
        <w:br/>
      </w:r>
      <w:r>
        <w:br/>
      </w:r>
    </w:p>
    <w:p>
      <w:pPr>
        <w:pStyle w:val="null3"/>
        <w:jc w:val="center"/>
        <w:outlineLvl w:val="2"/>
      </w:pPr>
      <w:r>
        <w:rPr>
          <w:rFonts w:ascii="仿宋_GB2312" w:hAnsi="仿宋_GB2312" w:cs="仿宋_GB2312" w:eastAsia="仿宋_GB2312"/>
          <w:sz w:val="28"/>
          <w:b/>
        </w:rPr>
        <w:t>西安市蓝田县生态环境局</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西安市蓝田县生态环境局</w:t>
      </w:r>
      <w:r>
        <w:rPr>
          <w:rFonts w:ascii="仿宋_GB2312" w:hAnsi="仿宋_GB2312" w:cs="仿宋_GB2312" w:eastAsia="仿宋_GB2312"/>
        </w:rPr>
        <w:t>委托，拟对</w:t>
      </w:r>
      <w:r>
        <w:rPr>
          <w:rFonts w:ascii="仿宋_GB2312" w:hAnsi="仿宋_GB2312" w:cs="仿宋_GB2312" w:eastAsia="仿宋_GB2312"/>
        </w:rPr>
        <w:t>蓝田县普化村任家沟下游河道等5处黑臭水体治理工程监理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SXZM-CS-2025058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蓝田县普化村任家沟下游河道等5处黑臭水体治理工程监理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蓝田县普化村任家沟下游河道等5处黑臭水体治理工程监理服务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采购包1（蓝田县普化村任家沟下游河道等5处黑臭水体治理工程监理）：属于专门面向中小企业采购。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具有经审计资质单位出具赋码的完整2024年度的财务审计报告，成立时间至提交投标文件截止时间不足一年的可提供成立后已缴纳至少一个月的资产负债表；或其开标前六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保缴纳证明：提供首次磋商响应文件递交截止时间前1年内已缴纳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5、履行合同承诺函：提供具有履行合同所必需的设备和专业技术能力的承诺；</w:t>
      </w:r>
    </w:p>
    <w:p>
      <w:pPr>
        <w:pStyle w:val="null3"/>
      </w:pPr>
      <w:r>
        <w:rPr>
          <w:rFonts w:ascii="仿宋_GB2312" w:hAnsi="仿宋_GB2312" w:cs="仿宋_GB2312" w:eastAsia="仿宋_GB2312"/>
        </w:rPr>
        <w:t>6、无重大违法记录书面声明：参加政府采购活动前3年内，在经营活动中没有重大违法记录的书面声明；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或负责人）身份证明/法定代表人（或负责人）授权委托书：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pPr>
        <w:pStyle w:val="null3"/>
      </w:pPr>
      <w:r>
        <w:rPr>
          <w:rFonts w:ascii="仿宋_GB2312" w:hAnsi="仿宋_GB2312" w:cs="仿宋_GB2312" w:eastAsia="仿宋_GB2312"/>
        </w:rPr>
        <w:t>9、企业资质要求：供应商须具备工程监理综合资质或市政公用工程监理乙级（含乙级）及以上资质；</w:t>
      </w:r>
    </w:p>
    <w:p>
      <w:pPr>
        <w:pStyle w:val="null3"/>
      </w:pPr>
      <w:r>
        <w:rPr>
          <w:rFonts w:ascii="仿宋_GB2312" w:hAnsi="仿宋_GB2312" w:cs="仿宋_GB2312" w:eastAsia="仿宋_GB2312"/>
        </w:rPr>
        <w:t>10、拟派项目总监理工程师资格要求：拟任项目总监理工程师须具有市政公用工程专业国家注册监理工程师执业证书，且未担任其他在建工程项目的项目总监理工程师（提供承诺书）；</w:t>
      </w:r>
    </w:p>
    <w:p>
      <w:pPr>
        <w:pStyle w:val="null3"/>
      </w:pPr>
      <w:r>
        <w:rPr>
          <w:rFonts w:ascii="仿宋_GB2312" w:hAnsi="仿宋_GB2312" w:cs="仿宋_GB2312" w:eastAsia="仿宋_GB2312"/>
        </w:rPr>
        <w:t>11、基本信息要求：供应商资质基本信息及项目总监理工程师基本信息应在“陕西省住房和城乡建设厅网（http://js.shaanxi.gov.cn/）-办事服务-企业库/人员库-可查询或全国建筑市场监管公共服务平台可查询；</w:t>
      </w:r>
    </w:p>
    <w:p>
      <w:pPr>
        <w:pStyle w:val="null3"/>
      </w:pPr>
      <w:r>
        <w:rPr>
          <w:rFonts w:ascii="仿宋_GB2312" w:hAnsi="仿宋_GB2312" w:cs="仿宋_GB2312" w:eastAsia="仿宋_GB2312"/>
        </w:rPr>
        <w:t>12、信用记录：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13、控股管理关系：单位负责人为同一人或者存在直接控股、管理关系的供应商，不得参加同一合同下的政府采购活动；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14、供应商书面声明：供应商未为本项目提供整体设计、规范编制或者项目管理、监理、检测等服务的书面声明；</w:t>
      </w:r>
    </w:p>
    <w:p>
      <w:pPr>
        <w:pStyle w:val="null3"/>
      </w:pPr>
      <w:r>
        <w:rPr>
          <w:rFonts w:ascii="仿宋_GB2312" w:hAnsi="仿宋_GB2312" w:cs="仿宋_GB2312" w:eastAsia="仿宋_GB2312"/>
        </w:rPr>
        <w:t>15、供应商参与磋商的承诺函：符合竞争性磋商文件要求。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西安市蓝田县蓝水路中段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029-82829599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温治莲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取标准：参照国家计委颁发的《招标代理服务收费管理暂行办法》（计价格[2002]1980号）和国家发展和改革委员会办公厅颁发的《关于招标代理服务收费有关问题的通知》（发改办价格[2003]857号）的有关规定标准收取,不足捌仟按捌仟元收取。 招标代理服务费公布方式：代理服务费金额将在成交公告中明确，成交单位在领取成交通知书前，须向采购代理机构一次性支付招标代理服务费。 代理服务费账户信息： 户 名：陕西正明项目管理有限公司 开户行：中国民生银行股份有限公司西安枫林绿洲支行 账 号：170455461;请成交供应商按照要求将服务费汇入以上指定账户，如因自身原因发生错误，产生的不利后果均由供应商自行承担。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西安市蓝田县生态环境局</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甲方双方另行协商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联系人：樊睿、刘晨星、寻宇超</w:t>
      </w:r>
    </w:p>
    <w:p>
      <w:pPr>
        <w:pStyle w:val="null3"/>
      </w:pPr>
      <w:r>
        <w:rPr>
          <w:rFonts w:ascii="仿宋_GB2312" w:hAnsi="仿宋_GB2312" w:cs="仿宋_GB2312" w:eastAsia="仿宋_GB2312"/>
        </w:rPr>
        <w:t>联系电话：029-88855325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蓝田县普化村任家沟下游河道等5处黑臭水体治理工程监理服务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500,600.00</w:t>
      </w:r>
    </w:p>
    <w:p>
      <w:pPr>
        <w:pStyle w:val="null3"/>
      </w:pPr>
      <w:r>
        <w:rPr>
          <w:rFonts w:ascii="仿宋_GB2312" w:hAnsi="仿宋_GB2312" w:cs="仿宋_GB2312" w:eastAsia="仿宋_GB2312"/>
        </w:rPr>
        <w:t>采购包最高限价（元）: 500,600.00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蓝田县普化村任家沟下游河道等5处黑臭水体治理工程监理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标的名称：蓝田县普化村任家沟下游河道等5处黑臭水体治理工程监理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（一）项目规模</w:t>
            </w:r>
          </w:p>
          <w:p>
            <w:pPr>
              <w:pStyle w:val="null3"/>
            </w:pPr>
            <w:r>
              <w:rPr>
                <w:rFonts w:ascii="仿宋_GB2312" w:hAnsi="仿宋_GB2312" w:cs="仿宋_GB2312" w:eastAsia="仿宋_GB2312"/>
                <w:sz w:val="20"/>
              </w:rPr>
              <w:t>本项目为蓝田县普化村任家沟下游河道等5处黑臭水体治理工程，新建DN200、DN300污水管道20550m，DN100、DN150接户管道27810m，φ700、φ1000塑料污水检查井860座，塑料接户格栅井1545座，混凝土路面破除修复33156m2，垃圾清运约334m3，底泥清运约810m3，污水清运约28m3，截流井和截流管清理1项。</w:t>
            </w:r>
          </w:p>
          <w:p>
            <w:pPr>
              <w:pStyle w:val="null3"/>
            </w:pPr>
            <w:r>
              <w:rPr>
                <w:rFonts w:ascii="仿宋_GB2312" w:hAnsi="仿宋_GB2312" w:cs="仿宋_GB2312" w:eastAsia="仿宋_GB2312"/>
                <w:sz w:val="20"/>
              </w:rPr>
              <w:t>（二）</w:t>
            </w:r>
            <w:r>
              <w:rPr>
                <w:rFonts w:ascii="仿宋_GB2312" w:hAnsi="仿宋_GB2312" w:cs="仿宋_GB2312" w:eastAsia="仿宋_GB2312"/>
                <w:sz w:val="20"/>
                <w:b/>
              </w:rPr>
              <w:t>监理内容</w:t>
            </w:r>
          </w:p>
          <w:p>
            <w:pPr>
              <w:pStyle w:val="null3"/>
              <w:jc w:val="both"/>
            </w:pPr>
            <w:r>
              <w:rPr>
                <w:rFonts w:ascii="仿宋_GB2312" w:hAnsi="仿宋_GB2312" w:cs="仿宋_GB2312" w:eastAsia="仿宋_GB2312"/>
                <w:sz w:val="20"/>
              </w:rPr>
              <w:t>（1）保证项目实施各阶段工作保质如期完成。</w:t>
            </w:r>
          </w:p>
          <w:p>
            <w:pPr>
              <w:pStyle w:val="null3"/>
              <w:jc w:val="both"/>
            </w:pPr>
            <w:r>
              <w:rPr>
                <w:rFonts w:ascii="仿宋_GB2312" w:hAnsi="仿宋_GB2312" w:cs="仿宋_GB2312" w:eastAsia="仿宋_GB2312"/>
                <w:sz w:val="20"/>
              </w:rPr>
              <w:t>（2）有效控制项目投资，不超出预算资金。</w:t>
            </w:r>
          </w:p>
          <w:p>
            <w:pPr>
              <w:pStyle w:val="null3"/>
              <w:jc w:val="both"/>
            </w:pPr>
            <w:r>
              <w:rPr>
                <w:rFonts w:ascii="仿宋_GB2312" w:hAnsi="仿宋_GB2312" w:cs="仿宋_GB2312" w:eastAsia="仿宋_GB2312"/>
                <w:sz w:val="20"/>
              </w:rPr>
              <w:t>（3）严格按合同要求进行监理，督促项目承建单位按时按质完成项目。保证项目的施工质量，确保项目正常运行。</w:t>
            </w:r>
          </w:p>
          <w:p>
            <w:pPr>
              <w:pStyle w:val="null3"/>
              <w:jc w:val="both"/>
            </w:pPr>
            <w:r>
              <w:rPr>
                <w:rFonts w:ascii="仿宋_GB2312" w:hAnsi="仿宋_GB2312" w:cs="仿宋_GB2312" w:eastAsia="仿宋_GB2312"/>
                <w:sz w:val="20"/>
              </w:rPr>
              <w:t>（4）供应商项目管理机构应有针对该项目经验丰富的监理工程师组成，要求足够的技术力量和监理能力。</w:t>
            </w:r>
          </w:p>
          <w:p>
            <w:pPr>
              <w:pStyle w:val="null3"/>
              <w:jc w:val="both"/>
            </w:pPr>
            <w:r>
              <w:rPr>
                <w:rFonts w:ascii="仿宋_GB2312" w:hAnsi="仿宋_GB2312" w:cs="仿宋_GB2312" w:eastAsia="仿宋_GB2312"/>
                <w:sz w:val="20"/>
              </w:rPr>
              <w:t>（5）项目施工准备阶段：检查施工单位项目质量控制及安全生产管理措施的可行性，审查施工组织设计（实施方案）、开工申请；采取技术审核、技术评审、度量签认、巡视检查、旁站监督、平行检验、测试确认、统计分析等监理形式，对项目质量进行控制和把关；组织对进场材料、设备的到货验收；对设备安装调试过程进行监督；组织对分项目工程验收和系统功能测试验收。</w:t>
            </w:r>
          </w:p>
          <w:p>
            <w:pPr>
              <w:pStyle w:val="null3"/>
              <w:jc w:val="both"/>
            </w:pPr>
            <w:r>
              <w:rPr>
                <w:rFonts w:ascii="仿宋_GB2312" w:hAnsi="仿宋_GB2312" w:cs="仿宋_GB2312" w:eastAsia="仿宋_GB2312"/>
                <w:sz w:val="20"/>
              </w:rPr>
              <w:t>（6）项目施工阶段：监督施工单位严格按工期组织施工，检查项目实施状况、人员与实施方案的一致性；审查施工单位提交的施工进度计划，核查施工单位对施工进度计划的调整。</w:t>
            </w:r>
          </w:p>
          <w:p>
            <w:pPr>
              <w:pStyle w:val="null3"/>
              <w:jc w:val="both"/>
            </w:pPr>
            <w:r>
              <w:rPr>
                <w:rFonts w:ascii="仿宋_GB2312" w:hAnsi="仿宋_GB2312" w:cs="仿宋_GB2312" w:eastAsia="仿宋_GB2312"/>
                <w:sz w:val="20"/>
              </w:rPr>
              <w:t>（7）项目验收阶段：验收隐蔽工程、分部分项工程，签署分项、分部工程和单项工程质量评定表；对发现的质量问题应及时通知施工单位整改、并做好监理记录；审查施工单位报送的工程材料、设施设备的质量证明材料，抽检进场的工程材料、设施设备的质量，并经三方签字确认；监督施工单位认真处理施工中发生的一般质量事故，并认真做好记录；对重大质量事故以及其他紧急情况立即报告监管部门。</w:t>
            </w:r>
          </w:p>
          <w:p>
            <w:pPr>
              <w:pStyle w:val="null3"/>
              <w:jc w:val="both"/>
            </w:pPr>
            <w:r>
              <w:rPr>
                <w:rFonts w:ascii="仿宋_GB2312" w:hAnsi="仿宋_GB2312" w:cs="仿宋_GB2312" w:eastAsia="仿宋_GB2312"/>
                <w:sz w:val="20"/>
              </w:rPr>
              <w:t>（8）项目施工阶段的安全生产管理：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监管部门。</w:t>
            </w:r>
          </w:p>
          <w:p>
            <w:pPr>
              <w:pStyle w:val="null3"/>
              <w:jc w:val="both"/>
            </w:pPr>
            <w:r>
              <w:rPr>
                <w:rFonts w:ascii="仿宋_GB2312" w:hAnsi="仿宋_GB2312" w:cs="仿宋_GB2312" w:eastAsia="仿宋_GB2312"/>
                <w:sz w:val="20"/>
              </w:rPr>
              <w:t>（9）竣工验收阶段：督促和检查施工单位及时整理竣工文件和验收资料；审查施工单位提交的竣工验收申请，对竣工量进行确认，编写工程质量报告；组织工程预验收，参加监管部门组织的竣工验收，并签署竣工验收意见；编制、整理工程监理归档文件并提交给监管部门。</w:t>
            </w:r>
          </w:p>
          <w:p>
            <w:pPr>
              <w:pStyle w:val="null3"/>
              <w:jc w:val="both"/>
            </w:pPr>
            <w:r>
              <w:rPr>
                <w:rFonts w:ascii="仿宋_GB2312" w:hAnsi="仿宋_GB2312" w:cs="仿宋_GB2312" w:eastAsia="仿宋_GB2312"/>
                <w:sz w:val="20"/>
              </w:rPr>
              <w:t>（10）在项目各阶段，向采购人提供相关的技术咨询服务。</w:t>
            </w:r>
          </w:p>
          <w:p>
            <w:pPr>
              <w:pStyle w:val="null3"/>
              <w:jc w:val="both"/>
            </w:pPr>
            <w:r>
              <w:rPr>
                <w:rFonts w:ascii="仿宋_GB2312" w:hAnsi="仿宋_GB2312" w:cs="仿宋_GB2312" w:eastAsia="仿宋_GB2312"/>
                <w:sz w:val="20"/>
              </w:rPr>
              <w:t>（11）进度控制内容</w:t>
            </w:r>
          </w:p>
          <w:p>
            <w:pPr>
              <w:pStyle w:val="null3"/>
              <w:jc w:val="both"/>
            </w:pPr>
            <w:r>
              <w:rPr>
                <w:rFonts w:ascii="仿宋_GB2312" w:hAnsi="仿宋_GB2312" w:cs="仿宋_GB2312" w:eastAsia="仿宋_GB2312"/>
                <w:sz w:val="20"/>
              </w:rPr>
              <w:t>审核总进度计划和阶段进度计划；对项目实施进度进行实时跟踪，检查进度完成情况，分析影响进度的因素；当工期目标严重偏离总体进度目标时，提出进度调整意见并督促承包商尽快采取措施，确保按期完工。</w:t>
            </w:r>
          </w:p>
          <w:p>
            <w:pPr>
              <w:pStyle w:val="null3"/>
              <w:jc w:val="both"/>
            </w:pPr>
            <w:r>
              <w:rPr>
                <w:rFonts w:ascii="仿宋_GB2312" w:hAnsi="仿宋_GB2312" w:cs="仿宋_GB2312" w:eastAsia="仿宋_GB2312"/>
                <w:sz w:val="20"/>
              </w:rPr>
              <w:t>（12）投资控制内容</w:t>
            </w:r>
          </w:p>
          <w:p>
            <w:pPr>
              <w:pStyle w:val="null3"/>
              <w:jc w:val="both"/>
            </w:pPr>
            <w:r>
              <w:rPr>
                <w:rFonts w:ascii="仿宋_GB2312" w:hAnsi="仿宋_GB2312" w:cs="仿宋_GB2312" w:eastAsia="仿宋_GB2312"/>
                <w:sz w:val="20"/>
              </w:rPr>
              <w:t>如实计量工程量；将工程款付款进度与工程质量及进度结合起来审签工程进度款支付申请；审核工程变更费用，严格控制工程变更，避免投资浪费；审查工程决算报告等。</w:t>
            </w:r>
          </w:p>
          <w:p>
            <w:pPr>
              <w:pStyle w:val="null3"/>
              <w:jc w:val="both"/>
            </w:pPr>
            <w:r>
              <w:rPr>
                <w:rFonts w:ascii="仿宋_GB2312" w:hAnsi="仿宋_GB2312" w:cs="仿宋_GB2312" w:eastAsia="仿宋_GB2312"/>
                <w:sz w:val="20"/>
              </w:rPr>
              <w:t>（13）变更控制内容</w:t>
            </w:r>
          </w:p>
          <w:p>
            <w:pPr>
              <w:pStyle w:val="null3"/>
              <w:jc w:val="both"/>
            </w:pPr>
            <w:r>
              <w:rPr>
                <w:rFonts w:ascii="仿宋_GB2312" w:hAnsi="仿宋_GB2312" w:cs="仿宋_GB2312" w:eastAsia="仿宋_GB2312"/>
                <w:sz w:val="20"/>
              </w:rPr>
              <w:t>实施阶段依据合同约定对工程变更申请进行审核确认。</w:t>
            </w:r>
          </w:p>
          <w:p>
            <w:pPr>
              <w:pStyle w:val="null3"/>
              <w:jc w:val="both"/>
            </w:pPr>
            <w:r>
              <w:rPr>
                <w:rFonts w:ascii="仿宋_GB2312" w:hAnsi="仿宋_GB2312" w:cs="仿宋_GB2312" w:eastAsia="仿宋_GB2312"/>
                <w:sz w:val="20"/>
              </w:rPr>
              <w:t>（14）合同管理内容</w:t>
            </w:r>
          </w:p>
          <w:p>
            <w:pPr>
              <w:pStyle w:val="null3"/>
              <w:jc w:val="both"/>
            </w:pPr>
            <w:r>
              <w:rPr>
                <w:rFonts w:ascii="仿宋_GB2312" w:hAnsi="仿宋_GB2312" w:cs="仿宋_GB2312" w:eastAsia="仿宋_GB2312"/>
                <w:sz w:val="20"/>
              </w:rPr>
              <w:t>协助采购人洽谈、审核和签定工程合同，跟踪检查与项目建设有关的合同的执行情况，监督承包商按合同履约；对工期的延误和延期进行审核确认；对合同变更、索赔等事宜进行审核确认；根据合同约定，审核承包商提交的支付申请，签发付款凭证。依据合同约定对项目涉及的知识产权进行保护。</w:t>
            </w:r>
          </w:p>
          <w:p>
            <w:pPr>
              <w:pStyle w:val="null3"/>
              <w:jc w:val="both"/>
            </w:pPr>
            <w:r>
              <w:rPr>
                <w:rFonts w:ascii="仿宋_GB2312" w:hAnsi="仿宋_GB2312" w:cs="仿宋_GB2312" w:eastAsia="仿宋_GB2312"/>
                <w:sz w:val="20"/>
              </w:rPr>
              <w:t>（15）信息管理内容</w:t>
            </w:r>
          </w:p>
          <w:p>
            <w:pPr>
              <w:pStyle w:val="null3"/>
              <w:jc w:val="both"/>
            </w:pPr>
            <w:r>
              <w:rPr>
                <w:rFonts w:ascii="仿宋_GB2312" w:hAnsi="仿宋_GB2312" w:cs="仿宋_GB2312" w:eastAsia="仿宋_GB2312"/>
                <w:sz w:val="20"/>
              </w:rPr>
              <w:t>在项目各阶段对项目合同、工程资料和信息进行管理，确保项目合同的履行和信息的保密。做好监理日记及工程大事记；做好工程各类往来文件的批复和存档；做好项目协调会、技术专题会的会议纪要；管理好实施期间的各类技术文档。</w:t>
            </w:r>
          </w:p>
          <w:p>
            <w:pPr>
              <w:pStyle w:val="null3"/>
              <w:jc w:val="both"/>
            </w:pPr>
            <w:r>
              <w:rPr>
                <w:rFonts w:ascii="仿宋_GB2312" w:hAnsi="仿宋_GB2312" w:cs="仿宋_GB2312" w:eastAsia="仿宋_GB2312"/>
                <w:sz w:val="20"/>
              </w:rPr>
              <w:t>（16）安全管理内容</w:t>
            </w:r>
          </w:p>
          <w:p>
            <w:pPr>
              <w:pStyle w:val="null3"/>
              <w:jc w:val="both"/>
            </w:pPr>
            <w:r>
              <w:rPr>
                <w:rFonts w:ascii="仿宋_GB2312" w:hAnsi="仿宋_GB2312" w:cs="仿宋_GB2312" w:eastAsia="仿宋_GB2312"/>
                <w:sz w:val="20"/>
              </w:rPr>
              <w:t>审核工程信息安全方案，监督信息安全策略的实施；审核施工组织安全管理措施，监督安全制度的落实，确保施工安全。</w:t>
            </w:r>
          </w:p>
          <w:p>
            <w:pPr>
              <w:pStyle w:val="null3"/>
              <w:jc w:val="both"/>
            </w:pPr>
            <w:r>
              <w:rPr>
                <w:rFonts w:ascii="仿宋_GB2312" w:hAnsi="仿宋_GB2312" w:cs="仿宋_GB2312" w:eastAsia="仿宋_GB2312"/>
                <w:sz w:val="20"/>
              </w:rPr>
              <w:t>（17）组织协调内容</w:t>
            </w:r>
          </w:p>
          <w:p>
            <w:pPr>
              <w:pStyle w:val="null3"/>
            </w:pPr>
            <w:r>
              <w:rPr>
                <w:rFonts w:ascii="仿宋_GB2312" w:hAnsi="仿宋_GB2312" w:cs="仿宋_GB2312" w:eastAsia="仿宋_GB2312"/>
                <w:sz w:val="20"/>
              </w:rPr>
              <w:t>在项目各阶段，协调采购人与成交供应商的工作关系；支持监理例会等会议协调处理工程实施中出现的各种问题；定期以书面形式向采购人方汇报施工和监理工作，提交监理工作报告。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根据项目情况配备实施设备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自监理合同签订之日起至工程竣工验收合格之日止。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项目开工后30日历天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竣工验收合格后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在领取中标（成交）通知书时，向采购代理机构提供一正两副纸质响应文件，用于项目归档使用。纸质版与电子交易平台上传的响应文件必须保持一致，若纸质版响应文件与上传政府采购系统电子版不一致时，以政府采购平台上传版为准。2.供应商应自磋商文件递交截止时间起至磋商结束，保持在线状态。3.本项目所属行业为：其他未列明行业。按照《工信部 国家统计局 发改委 财政部 工信部联企业》中小企业划型标准（〔2011〕300号）规定，其他未列明行业中小企业判定标准为：从业人员 300 人以下的为中小微型企业。其中，从业人员 100 人及以上的为中型企业;从业人员10人及以上的为小型企业;从业人员 10 人以下的为微型企业。4.关于信用记录的查询和使用：①采购人将在资格审查阶段通过【信用中国（www.creditchina.gov.cn）】、【中国政府采购网（www.ccgp.gov.cn）】网站的截图对投标文件中的《供应商书面声明函》的信用情况进行甄别。对列入失信被执行人、重大税收违法失信主体、政府采购严重违法失信行为记录名单及其他不符合《中华人民共和国政府采购法》第二十二条规定条件的供应商，根据《关于在政府采购活动中查询及使用信用记录有关问题的通知》（财库〔2016〕125号）的第二条第（三）款规定，其投标或中标资格将被取消。 ②截至本项目开标前三年内因违法经营受到刑事处罚或者责令停产停业、吊销许可证或者执照、较大数额罚款等行政处罚的，其响应无效，无效响应供应商的信用记录查询结果截图将作为项目材料的组成部分。③较大数额罚款认定为200万元以上的罚款，法律、行政法规以及国务院有关部门明确规定相关领域“较大数额罚款”标准高于200万元的，从其规定。④供应商在参加政府采购活动前3年内因违法经营被禁止在一定期限内参加政府采购活动，期限届满的，可以参加政府采购活动的，但供应商应提供相关证明材料。⑤供应商信用记录查询的时间段为“招标公告公告发布之日（含当日）至提交投标文件截止之日（含当日）”。信用记录查询的结果，可以纸质截图或将截图保存至电子介质的形式留存。供应商未如实填报《供应商书面声明函》的，视为“供应商提供虚假材料谋取中标的”行为。 5.因政府采购系统设置局限性，本项目实际支付结算方式以第八章拟签订采购合同文本为准。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电子化响应文件.docx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电子化响应文件.docx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电子化响应文件.docx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赋码的完整2024年度的财务审计报告，成立时间至提交投标文件截止时间不足一年的可提供成立后已缴纳至少一个月的资产负债表；或其开标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提供首次磋商响应文件递交截止时间前1年内已缴纳至少一个月的社会保障资金缴存单据或社保机构开具的社会保险参保缴费情况证明，依法不需要缴纳社会保障资金的单位应提供相关证明材料；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供应商须具备工程监理综合资质或市政公用工程监理乙级（含乙级）及以上资质；</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拟派项目总监理工程师资格要求</w:t>
            </w:r>
          </w:p>
        </w:tc>
        <w:tc>
          <w:tcPr>
            <w:tcW w:type="dxa" w:w="3322"/>
          </w:tcPr>
          <w:p>
            <w:pPr>
              <w:pStyle w:val="null3"/>
            </w:pPr>
            <w:r>
              <w:rPr>
                <w:rFonts w:ascii="仿宋_GB2312" w:hAnsi="仿宋_GB2312" w:cs="仿宋_GB2312" w:eastAsia="仿宋_GB2312"/>
              </w:rPr>
              <w:t>拟任项目总监理工程师须具有市政公用工程专业国家注册监理工程师执业证书，且未担任其他在建工程项目的项目总监理工程师（提供承诺书）；</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基本信息要求</w:t>
            </w:r>
          </w:p>
        </w:tc>
        <w:tc>
          <w:tcPr>
            <w:tcW w:type="dxa" w:w="3322"/>
          </w:tcPr>
          <w:p>
            <w:pPr>
              <w:pStyle w:val="null3"/>
            </w:pPr>
            <w:r>
              <w:rPr>
                <w:rFonts w:ascii="仿宋_GB2312" w:hAnsi="仿宋_GB2312" w:cs="仿宋_GB2312" w:eastAsia="仿宋_GB2312"/>
              </w:rPr>
              <w:t>供应商资质基本信息及项目总监理工程师基本信息应在“陕西省住房和城乡建设厅网（http://js.shaanxi.gov.cn/）-办事服务-企业库/人员库-可查询或全国建筑市场监管公共服务平台可查询；</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电子化响应文件.docx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技术服务条款响应</w:t>
            </w:r>
          </w:p>
        </w:tc>
        <w:tc>
          <w:tcPr>
            <w:tcW w:type="dxa" w:w="3322"/>
          </w:tcPr>
          <w:p>
            <w:pPr>
              <w:pStyle w:val="null3"/>
            </w:pPr>
            <w:r>
              <w:rPr>
                <w:rFonts w:ascii="仿宋_GB2312" w:hAnsi="仿宋_GB2312" w:cs="仿宋_GB2312" w:eastAsia="仿宋_GB2312"/>
              </w:rPr>
              <w:t>完全理解并接受磋商文件第三章磋商项目技术、服务、商务及其他要求的规定，不得负偏离。</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完全理解并接受磋商文件第八章拟签订采购合同文本的规定，不得负偏离。</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无其他磋商文件或法律法规明确规定响应无效的事项</w:t>
            </w:r>
          </w:p>
        </w:tc>
        <w:tc>
          <w:tcPr>
            <w:tcW w:type="dxa" w:w="3322"/>
          </w:tcPr>
          <w:p>
            <w:pPr>
              <w:pStyle w:val="null3"/>
            </w:pPr>
            <w:r>
              <w:rPr>
                <w:rFonts w:ascii="仿宋_GB2312" w:hAnsi="仿宋_GB2312" w:cs="仿宋_GB2312" w:eastAsia="仿宋_GB2312"/>
              </w:rPr>
              <w:t>没有不符合磋商文件及法律法规规定的被视为无效响应的其他条款，不能有采购人不能接受的附加条件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电子化响应文件.docx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监理工作方法及监理流程</w:t>
            </w:r>
          </w:p>
        </w:tc>
        <w:tc>
          <w:tcPr>
            <w:tcW w:type="dxa" w:w="2492"/>
          </w:tcPr>
          <w:p>
            <w:pPr>
              <w:pStyle w:val="null3"/>
            </w:pPr>
            <w:r>
              <w:rPr>
                <w:rFonts w:ascii="仿宋_GB2312" w:hAnsi="仿宋_GB2312" w:cs="仿宋_GB2312" w:eastAsia="仿宋_GB2312"/>
              </w:rPr>
              <w:t>供应商提供针对本项目的监理工作方法及监理流程。 监理工作方法及监理流程内容全面、具体、科学，可行性强，得6分； 监理工作方法及监理流程内容相对全面、具体、科学，可行性相对较强，得5分； 监理工作方法及监理流程内容基本全面、具体，有一定的可行性，得4分； 监理工作方法及监理流程内容不够全面、具体，可行性相对较弱，得3分； 监理工作方法及监理流程内容笼统，可行性有待考究的，得2分； 监理工作方法及监理流程内容不全面、具体，可行性较差，得1分；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供应商提供针对本项目的质量控制方案。 方案内容全面、具体，科学合理，可行性强，得6分； 方案内容相对全面、具体、科学，可行性相对较强，得5分； 方案内容基本全面、具体，有一定的可行性，得4分； 方案内容不够全面、具体，可行性相对较弱，得3分； 方案内容笼统，可行性有待考究的，得2分； 方案内容不全面、具体，可行性较差，得1分；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供应商提供针对本项目的进度控制措施。 方案内容全面、具体，科学合理，可行性强，得6分； 方案内容相对全面、具体、科学，可行性相对较强，得5分； 方案内容基本全面、具体，有一定的可行性，得4分； 方案内容不够全面、具体，可行性相对较弱，得3分； 方案内容笼统，可行性有待考究的，得2分； 方案内容不全面、具体，可行性较差，得1分；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投资控制方案</w:t>
            </w:r>
          </w:p>
        </w:tc>
        <w:tc>
          <w:tcPr>
            <w:tcW w:type="dxa" w:w="2492"/>
          </w:tcPr>
          <w:p>
            <w:pPr>
              <w:pStyle w:val="null3"/>
            </w:pPr>
            <w:r>
              <w:rPr>
                <w:rFonts w:ascii="仿宋_GB2312" w:hAnsi="仿宋_GB2312" w:cs="仿宋_GB2312" w:eastAsia="仿宋_GB2312"/>
              </w:rPr>
              <w:t>供应商提供针对本项目的投资控制方案。 方案内容全面、具体，科学合理，可行性强，得6分； 方案内容相对全面、具体、科学，可行性相对较强，得5分； 方案内容基本全面、具体，有一定的可行性，得4分； 方案内容不够全面、具体，可行性相对较弱，得3分； 方案内容笼统，可行性有待考究的，得2分； 方案内容不全面、具体，可行性较差，得1分；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变更控制方案</w:t>
            </w:r>
          </w:p>
        </w:tc>
        <w:tc>
          <w:tcPr>
            <w:tcW w:type="dxa" w:w="2492"/>
          </w:tcPr>
          <w:p>
            <w:pPr>
              <w:pStyle w:val="null3"/>
            </w:pPr>
            <w:r>
              <w:rPr>
                <w:rFonts w:ascii="仿宋_GB2312" w:hAnsi="仿宋_GB2312" w:cs="仿宋_GB2312" w:eastAsia="仿宋_GB2312"/>
              </w:rPr>
              <w:t>供应商提供针对本项目的变更控制方案。 方案内容全面、具体，科学合理，可行性强，得6分； 方案内容相对全面、具体、科学，可行性相对较强，得5分； 方案内容基本全面、具体，有一定的可行性，得4分； 方案内容不够全面、具体，可行性相对较弱，得3分； 方案内容笼统，可行性有待考究的，得2分； 方案内容不全面、具体，可行性较差，得1分；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合同管理方案</w:t>
            </w:r>
          </w:p>
        </w:tc>
        <w:tc>
          <w:tcPr>
            <w:tcW w:type="dxa" w:w="2492"/>
          </w:tcPr>
          <w:p>
            <w:pPr>
              <w:pStyle w:val="null3"/>
            </w:pPr>
            <w:r>
              <w:rPr>
                <w:rFonts w:ascii="仿宋_GB2312" w:hAnsi="仿宋_GB2312" w:cs="仿宋_GB2312" w:eastAsia="仿宋_GB2312"/>
              </w:rPr>
              <w:t>供应商提供针对本项目的合同管理方案。 方案内容全面、具体，科学合理，可行性强，得6分； 方案内容相对全面、具体、科学，可行性相对较强，得5分； 方案内容基本全面、具体，有一定的可行性，得4分； 方案内容不够全面、具体，可行性相对较弱，得3分； 方案内容笼统，可行性有待考究的，得2分； 方案内容不全面、具体，可行性较差，得1分；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信息管理方案</w:t>
            </w:r>
          </w:p>
        </w:tc>
        <w:tc>
          <w:tcPr>
            <w:tcW w:type="dxa" w:w="2492"/>
          </w:tcPr>
          <w:p>
            <w:pPr>
              <w:pStyle w:val="null3"/>
            </w:pPr>
            <w:r>
              <w:rPr>
                <w:rFonts w:ascii="仿宋_GB2312" w:hAnsi="仿宋_GB2312" w:cs="仿宋_GB2312" w:eastAsia="仿宋_GB2312"/>
              </w:rPr>
              <w:t>供应商提供针对本项目的信息管理方案。 方案内容全面、具体，科学合理，可行性强，得6分； 方案内容相对全面、具体、科学，可行性相对较强，得5分； 方案内容基本全面、具体，有一定的可行性，得4分； 方案内容不够全面、具体，可行性相对较弱，得3分； 方案内容笼统，可行性有待考究的，得2分； 方案内容不全面、具体，可行性较差，得1分；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供应商提供针对本项目的安全管理方案。 方案内容全面、具体，科学合理，可行性强，得6分； 方案内容相对全面、具体、科学，可行性相对较强，得5分； 方案内容基本全面、具体，有一定的可行性，得4分； 方案内容不够全面、具体，可行性相对较弱，得3分； 方案内容笼统，可行性有待考究的，得2分； 方案内容不全面、具体，可行性较差，得1分；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针对本项目特点提供切实可行的服务保障措施。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拟派本项目的总监理工程师具有高级职称得2分，中级职称得1分，其他不得分。 评审依据：响应文件所附证明材料为准。 拟派本项目的总监理工程师自2022年1月至今承担过同类监理项目业绩，每提供1份业绩得1分，最高得2分。 评审依据：响应文件所附合同关键页的复印件或扫描件，以合同签订时间为准。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拟投入本项目团队配置</w:t>
            </w:r>
          </w:p>
        </w:tc>
        <w:tc>
          <w:tcPr>
            <w:tcW w:type="dxa" w:w="2492"/>
          </w:tcPr>
          <w:p>
            <w:pPr>
              <w:pStyle w:val="null3"/>
            </w:pPr>
            <w:r>
              <w:rPr>
                <w:rFonts w:ascii="仿宋_GB2312" w:hAnsi="仿宋_GB2312" w:cs="仿宋_GB2312" w:eastAsia="仿宋_GB2312"/>
              </w:rPr>
              <w:t>针对本项目拟投入本项目团队配置组成人员结构合理，人员配备齐全，岗位职责明确，佐证材料齐全得6分； 针对本项目拟投入本项目团队配置组成人员结构相对合理，人员配备相对齐全，岗位职责相对明确，有相关佐证材料得5分； 针对本项目拟投入本项目团队配置组成人员结构基本合理，人员配备基本齐全，岗位职责基本明确，有相关佐证材料得4分； 针对本项目拟投入本项目团队配置组成人员结构不够合理，人员配备不够齐全，岗位职责不太明确，相关佐证材料缺失得3分； 针对本项目拟投入本项目团队配置组成人员内容笼统，可行性有待考究的，得2分； 针对本项目拟投入本项目团队配置组成人员结构不合理，人员配备不齐全，岗位职责不明确，相关佐证材料缺失得1分；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拟投入本项目的设施、设备、仪器配置</w:t>
            </w:r>
          </w:p>
        </w:tc>
        <w:tc>
          <w:tcPr>
            <w:tcW w:type="dxa" w:w="2492"/>
          </w:tcPr>
          <w:p>
            <w:pPr>
              <w:pStyle w:val="null3"/>
            </w:pPr>
            <w:r>
              <w:rPr>
                <w:rFonts w:ascii="仿宋_GB2312" w:hAnsi="仿宋_GB2312" w:cs="仿宋_GB2312" w:eastAsia="仿宋_GB2312"/>
              </w:rPr>
              <w:t>供应商提供针对本项目拟投入的设施、设备、仪器配置。 针对本项目拟投入的设施、设备、仪器配置，先进、合理可行，得5分； 针对本项目拟投入的设施、设备、仪器配置，相对先进、相对合理可行，得4分； 针对本项目拟投入的设施、设备、仪器配置，较先进、基本合理可行，得3分； 针对本项目拟投入的设施、设备、仪器配置，不够合理可行，得2分； 针对本项目拟投入的设施、设备、仪器配置，不合理，需完善后才能实施的，得1分；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组织协调方案</w:t>
            </w:r>
          </w:p>
        </w:tc>
        <w:tc>
          <w:tcPr>
            <w:tcW w:type="dxa" w:w="2492"/>
          </w:tcPr>
          <w:p>
            <w:pPr>
              <w:pStyle w:val="null3"/>
            </w:pPr>
            <w:r>
              <w:rPr>
                <w:rFonts w:ascii="仿宋_GB2312" w:hAnsi="仿宋_GB2312" w:cs="仿宋_GB2312" w:eastAsia="仿宋_GB2312"/>
              </w:rPr>
              <w:t>供应商提供针对本项目的组织协调方案。 方案内容全面、具体，科学合理，可行性强，得6分； 方案内容相对全面、具体、科学，可行性相对较强，得5分； 方案内容基本全面、具体，有一定的可行性，得4分； 方案内容不够全面、具体，可行性相对较弱，得3分； 方案内容笼统，可行性有待考究的，得2分； 方案内容不全面、具体，可行性较差，得1分；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重点、难点问题分析及解决措施</w:t>
            </w:r>
          </w:p>
        </w:tc>
        <w:tc>
          <w:tcPr>
            <w:tcW w:type="dxa" w:w="2492"/>
          </w:tcPr>
          <w:p>
            <w:pPr>
              <w:pStyle w:val="null3"/>
            </w:pPr>
            <w:r>
              <w:rPr>
                <w:rFonts w:ascii="仿宋_GB2312" w:hAnsi="仿宋_GB2312" w:cs="仿宋_GB2312" w:eastAsia="仿宋_GB2312"/>
              </w:rPr>
              <w:t>供应商提供针对本项目的重点、难点问题分析及解决措施。 措施内容全面、具体，科学合理，可行性强，得6分；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电子化响应文件.docx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供应商近三年（2022年1月至今以合同签订时间为准）的类似业绩证明文件，提供加盖供应商公章的关键页的合同复印件或扫描件，每一份提供得1分，满分8分。 业绩可以和项目总监理工程师业绩重复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电子化响应文件.docx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满足竞争性磋商文件要求且评审报价最低的报价为评标基准价，其价格分为满分。其他供应商的价格分统一按照下列公式计算： 投标报价得分=（有效最低报价/有效投标报价）×10的公式计算其得分。 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详见附件：电子化响应文件.docx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