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版本号：ZFXH-2025-12-0120251210001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通讯线路服务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ZFXH-2025-12-01</w:t>
      </w:r>
      <w:r>
        <w:br/>
      </w:r>
      <w:r>
        <w:br/>
      </w:r>
      <w:r>
        <w:br/>
      </w:r>
    </w:p>
    <w:p>
      <w:pPr>
        <w:pStyle w:val="null3"/>
        <w:jc w:val="center"/>
        <w:outlineLvl w:val="5"/>
      </w:pPr>
      <w:r>
        <w:rPr>
          <w:rFonts w:ascii="仿宋_GB2312" w:hAnsi="仿宋_GB2312" w:cs="仿宋_GB2312" w:eastAsia="仿宋_GB2312"/>
          <w:sz w:val="15"/>
          <w:b/>
        </w:rPr>
        <w:t>西安市人民医院（西安市第四医院）</w:t>
      </w:r>
    </w:p>
    <w:p>
      <w:pPr>
        <w:pStyle w:val="null3"/>
        <w:jc w:val="center"/>
        <w:outlineLvl w:val="5"/>
      </w:pPr>
      <w:r>
        <w:rPr>
          <w:rFonts w:ascii="仿宋_GB2312" w:hAnsi="仿宋_GB2312" w:cs="仿宋_GB2312" w:eastAsia="仿宋_GB2312"/>
          <w:sz w:val="15"/>
          <w:b/>
        </w:rPr>
        <w:t>陕西中峰兴华工程项目管理有限公司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陕西中峰兴华工程项目管理有限公司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通讯线路服务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ZFXH-2025-12-01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通讯线路服务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根据西安市人民医院（西安市第四医院）两院区使用固定电话、短信平台、互联网专线、数据专线等三大运营商业务现状及需求，本项目拟采购内容如下： 一标段：移动线路服务，包含不少于1200路固定电话、短信平台、3条数据专线、2条互联网专线、语音线路、WIFI改造等服务，服务期从各业务当前服务期结束后首日起，至2027年12月31日止，各业务具体服务期详见采购需求清单； 二标段：联通线路服务，购置1条互联网专线服务，服务期一年零五个月，自2026年8月1日起，至2027年12月31日止。</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1、供应商应具备《中华人民共和国政府采购法》第二十二条规定的条件：1、供应商合法注册的法人或其他组织的营业执照等证明文件； 2、具有良好的商业信誉和健全的财务会计制度[（供应商应提供2024）年经审计的财务报告或基本户开户行出具的资信证明]； 3、具备履行合同所必需的设备和专业技术能力的证明材料或承诺书； 4、税收缴纳证明：提供2025年1月至今已缴纳的至少一个月的任意税种的纳税证明或完税证明，依法免税的单位应提供相关证明材料。 5、社会保障资金缴存证明：提供2025年1月至今已缴存的至少一个月的社会保障资金缴存单据或社保机构开具的社会保险参保缴费情况证明，依法不需要缴存社会保障资金的单位应提供相关证明材料。 6、参加政府采购活动前三年内，在经营活动中没有重大违法记录的书面声明。</w:t>
      </w:r>
    </w:p>
    <w:p>
      <w:pPr>
        <w:pStyle w:val="null3"/>
      </w:pPr>
      <w:r>
        <w:rPr>
          <w:rFonts w:ascii="仿宋_GB2312" w:hAnsi="仿宋_GB2312" w:cs="仿宋_GB2312" w:eastAsia="仿宋_GB2312"/>
        </w:rPr>
        <w:t>2、特定资格要求：1、供应商为合法注册的法人或其他组织，需提供具有统一社会信用代码的营业执照，事业单位需提供事业单位法人证书。 2、法定代表人参加的，须提供本人身份证复印件；法定代表人授权他人参加的须提供被授权代表身份证复印件，以及法定代表人委托授权书。</w:t>
      </w:r>
    </w:p>
    <w:p>
      <w:pPr>
        <w:pStyle w:val="null3"/>
      </w:pPr>
      <w:r>
        <w:rPr>
          <w:rFonts w:ascii="仿宋_GB2312" w:hAnsi="仿宋_GB2312" w:cs="仿宋_GB2312" w:eastAsia="仿宋_GB2312"/>
        </w:rPr>
        <w:t>3、信誉要求：1.供应商不得在“信用中国”被列入失信被执行人、政府采购严重违法失信行为记录名单、重大税收违法失信主体。 2.供应商不得在“中国政府采购网”被列入政府采购严重违法失信行为信息记录。 3.单位负责人为同一人或者存在控股、管理关系的不同单位，不得在同一标段中同时提出投标申请。</w:t>
      </w:r>
    </w:p>
    <w:p>
      <w:pPr>
        <w:pStyle w:val="null3"/>
      </w:pPr>
      <w:r>
        <w:rPr>
          <w:rFonts w:ascii="仿宋_GB2312" w:hAnsi="仿宋_GB2312" w:cs="仿宋_GB2312" w:eastAsia="仿宋_GB2312"/>
        </w:rPr>
        <w:t>4、其它：本项目不接受联合体投标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1、供应商应具备《中华人民共和国政府采购法》第二十二条规定的条件：1、供应商合法注册的法人或其他组织的营业执照等证明文件； 2、具有良好的商业信誉和健全的财务会计制度[（供应商应提供2024）年经审计的财务报告或基本户开户行出具的资信证明]； 3、具备履行合同所必需的设备和专业技术能力的证明材料或承诺书； 4、税收缴纳证明：提供2025年1月至今已缴纳的至少一个月的任意税种的纳税证明或完税证明，依法免税的单位应提供相关证明材料。 5、社会保障资金缴存证明：提供2025年1月至今已缴存的至少一个月的社会保障资金缴存单据或社保机构开具的社会保险参保缴费情况证明，依法不需要缴存社会保障资金的单位应提供相关证明材料。 6、参加政府采购活动前三年内，在经营活动中没有重大违法记录的书面声明。</w:t>
      </w:r>
    </w:p>
    <w:p>
      <w:pPr>
        <w:pStyle w:val="null3"/>
      </w:pPr>
      <w:r>
        <w:rPr>
          <w:rFonts w:ascii="仿宋_GB2312" w:hAnsi="仿宋_GB2312" w:cs="仿宋_GB2312" w:eastAsia="仿宋_GB2312"/>
        </w:rPr>
        <w:t>2、特定资格要求：1、供应商为合法注册的法人或其他组织，需提供具有统一社会信用代码的营业执照，事业单位需提供事业单位法人证书。 2、法定代表人参加的，须提供本人身份证复印件；法定代表人授权他人参加的须提供被授权代表身份证复印件，以及法定代表人委托授权书。</w:t>
      </w:r>
    </w:p>
    <w:p>
      <w:pPr>
        <w:pStyle w:val="null3"/>
      </w:pPr>
      <w:r>
        <w:rPr>
          <w:rFonts w:ascii="仿宋_GB2312" w:hAnsi="仿宋_GB2312" w:cs="仿宋_GB2312" w:eastAsia="仿宋_GB2312"/>
        </w:rPr>
        <w:t>3、信誉要求：1.供应商不得在“信用中国”被列入失信被执行人、政府采购严重违法失信行为记录名单、重大税收违法失信主体。 2.供应商不得在“中国政府采购网”被列入政府采购严重违法失信行为信息记录。 3.单位负责人为同一人或者存在控股、管理关系的不同单位，不得在同一标段中同时提出投标申请。</w:t>
      </w:r>
    </w:p>
    <w:p>
      <w:pPr>
        <w:pStyle w:val="null3"/>
      </w:pPr>
      <w:r>
        <w:rPr>
          <w:rFonts w:ascii="仿宋_GB2312" w:hAnsi="仿宋_GB2312" w:cs="仿宋_GB2312" w:eastAsia="仿宋_GB2312"/>
        </w:rPr>
        <w:t>4、其它：本项目不接受联合体投标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西安市新城区解放路21号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西安市人民医院（西安市第四医院）经办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029-61199741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陕西中峰兴华工程项目管理有限公司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陕西省西安市灞桥区陕西省西安市浐灞生态区金桥三路418号前海人寿金融中心1号楼1202室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15686092000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采购包1：962,130.00元</w:t>
            </w:r>
          </w:p>
          <w:p>
            <w:pPr>
              <w:pStyle w:val="null3"/>
            </w:pPr>
            <w:r>
              <w:rPr>
                <w:rFonts w:ascii="仿宋_GB2312" w:hAnsi="仿宋_GB2312" w:cs="仿宋_GB2312" w:eastAsia="仿宋_GB2312"/>
              </w:rPr>
              <w:t>采购包2：76,500.00元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采购包1：962,130.00元</w:t>
            </w:r>
          </w:p>
          <w:p>
            <w:pPr>
              <w:pStyle w:val="null3"/>
            </w:pPr>
            <w:r>
              <w:rPr>
                <w:rFonts w:ascii="仿宋_GB2312" w:hAnsi="仿宋_GB2312" w:cs="仿宋_GB2312" w:eastAsia="仿宋_GB2312"/>
              </w:rPr>
              <w:t>采购包2：76,500.00元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代理服务费收费标准：以成交金额为基数，参照《&lt;招标代理服务收费管理暂行办法&gt;的通知》(计价格【2002】1980号)文件规定的标准下浮22%计取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陕西中峰兴华工程项目管理有限公司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陕西中峰兴华工程项目管理有限公司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陕西中峰兴华工程项目管理有限公司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根据西安市人民医院（西安市第四医院）两院区使用固定电话、短信平台、互联网专线、数据专线等三大运营商业务现状及需求，本项目拟采购内容如下： 一标段：移动线路服务，包含不少于1200路固定电话、短信平台、3条数据专线、2条互联网专线、语音线路、WIFI改造等服务，服务期从各业务当前服务期结束后首日起，至2027年12月31日止，各业务具体服务期详见采购需求清单； 二标段：联通线路服务，购置1条互联网专线服务，服务期一年零五个月，自2026年8月1日起，至2027年12月31日止。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962,130.00</w:t>
      </w:r>
    </w:p>
    <w:p>
      <w:pPr>
        <w:pStyle w:val="null3"/>
      </w:pPr>
      <w:r>
        <w:rPr>
          <w:rFonts w:ascii="仿宋_GB2312" w:hAnsi="仿宋_GB2312" w:cs="仿宋_GB2312" w:eastAsia="仿宋_GB2312"/>
        </w:rPr>
        <w:t>采购包最高限价（元）: 962,130.00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第一标段：移动线路服务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962,130.00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76,500.00</w:t>
      </w:r>
    </w:p>
    <w:p>
      <w:pPr>
        <w:pStyle w:val="null3"/>
      </w:pPr>
      <w:r>
        <w:rPr>
          <w:rFonts w:ascii="仿宋_GB2312" w:hAnsi="仿宋_GB2312" w:cs="仿宋_GB2312" w:eastAsia="仿宋_GB2312"/>
        </w:rPr>
        <w:t>采购包最高限价（元）: 76,500.00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第二标段：联通线路服务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标的名称：第一标段：移动线路服务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标段一：通讯线路服务（中国移动）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 多媒体固话及短信平台服务，服务期自2026年5月1日至2027年12月31日，共20个月</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1.1 为医院提供≥1200路固话服务，实现两院区短号互拨，外部线路故障时仍可正常进行内线通话，实现总分机功能，实现停电两小时业务不中断服务。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1.2 无座机、装机等其他费用，为本项目提供连续号段</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1.3 提供固话话费倍打优惠1包2；包含通话时长≥200000分钟/月</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1.4 提供院内搬迁、变更增补语音设备及光缆施工服务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1.5 提供程控交换机及相关附属设备维保服务</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1.6 短信平台服务：全国全网号码短信发送≥60000条/月</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1.7 提供≥3部固话号码的企业名片业务</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1.8提供智能随访系统语音线路及智能随访系统，实现大容量并发服务</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1.9大差市行政楼无线网络改造，包括AC、AP设备的增补，带宽分配策略的优化等，使行政办公楼无限网络终端网速达到有线网络终端网速的75%以上</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2、数据专线服务</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2.1 数据专线1，带宽≥8M，服务期自2027年1月1日至2027年12月31日，共12个月</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2.2 数据专线2，带宽≥4M，服务期自2027年8月1日至2027年12月31日，共5个月</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2.3 数据专线3，带宽≥50M，服务期自2026年8月1日至2027年12月31日，共17个月</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3、互联网专线服务</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3.1 互联网专线1，带宽≥400M，≥3个可用出口IP地址，服务期自2026年5月1日至2027年12月31日，共20个月</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3.2 互联网专线2，带宽≥400M，服务期自2027年1月1日至2027年12月31日，共12个月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标的名称：第二标段：联通线路服务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1、互联网专线服务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1.1 带宽≥100M，服务期自2026年8月1日至2027年12月31日，共17个月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满足采购文件及采购需求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满足采购文件及采购需求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合同签订后，按年支付，合同签订后，以自然年为期逐年预付一年的服务费，供应商开具所承担通讯线路至当年12月31日的服务费发票，采购人收到发票之日起10日内，支付发票总金额的 100%。,不足1年的，按月平均单价×当年服务月份数进行核算。（以合同签订为准）达到付款条件10日内，支付合同总价款（当年）的100%。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合同签订后，按年支付，合同签订后，以自然年为期逐年预付一年的服务费，供应商开具所承担通讯线路至当年12月31日的服务费发票，采购人收到发票之日起10日内，支付发票总金额的 100%。,不足1年的，按月平均单价×当年服务月份数进行核算。（以合同签订为准）达到付款条件10日内，支付合同总价款（当年）的100%。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质量不能满足合同技术要求的，甲方会同政府采购机构有权解除本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30%支付违约金。同时甲方有权按《政府采购法》有关处罚条款报监管机构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 2.未按合同要求提供，质量不能满足合同技术要求的，甲方会同政府采购机构有权解除本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30%支付违约金。同时甲方有权按《政府采购法》有关处罚条款报监管机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（一）服务期内： 1、乙方电话响应时间小于30分钟，到达现场时间不超过2小时，解决问题不超过24小时。 2、因乙方的通讯线路故障导致服务中断时，乙方应提供备用线路或解决方案，保证故障线路承载的甲方业务中断不超过30分钟。 3、因乙方的通讯线路故障导致服务中断超过30分钟，或乙方不能按时巡检、不能履行服务期内的义务，甲方有权部分或全部扣留滞留款，直至解除合同。因上述原因造成的合同解除不视为甲方违约。 4、制定符合甲方业务需求的应急制度与应急预案，并在每个自然年内进行不少于1次的应急演练。 5、电话咨询 免费提供每周7天/每天24小时不间断的电话支持服务，解答甲方在使用过程中遇到的问题，及时提出解决问题的建议和操作方法。 6、每季度巡检一次，提供巡检单一式两份，甲方一份，乙方一份，并由双方签字确认。内容包括巡检时间、巡检内容、巡检结果。 7、每次故障维修提供维修单一式两份，甲方一份，乙方一份，并由双方签字确认。内容包括得知故障时间、到达现场时间、故障处理结束时间、故障内容、故障处理方式方法，故障处理结果，并由双方签字确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（一）服务期内： 1、乙方电话响应时间小于30分钟，到达现场时间不超过2小时，解决问题不超过24小时。 2、因乙方的通讯线路故障导致服务中断时，乙方应提供备用线路或解决方案，保证故障线路承载的甲方业务中断不超过30分钟。 3、因乙方的通讯线路故障导致服务中断超过30分钟，或乙方不能按时巡检、不能履行服务期内的义务，甲方有权部分或全部扣留滞留款，直至解除合同。因上述原因造成的合同解除不视为甲方违约。 4、制定符合甲方业务需求的应急制度与应急预案，并在每个自然年内进行不少于1次的应急演练。 5、电话咨询 免费提供每周7天/每天24小时不间断的电话支持服务，解答甲方在使用过程中遇到的问题，及时提出解决问题的建议和操作方法。 6、每季度巡检一次，提供巡检单一式两份，甲方一份，乙方一份，并由双方签字确认。内容包括巡检时间、巡检内容、巡检结果。 7、每次故障维修提供维修单一式两份，甲方一份，乙方一份，并由双方签字确认。内容包括得知故障时间、到达现场时间、故障处理结束时间、故障内容、故障处理方式方法，故障处理结果，并由双方签字确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2、具有良好的商业信誉和健全的财务会计制度[（供应商应提供2024）年经审计的财务报告或基本户开户行出具的资信证明]； 3、具备履行合同所必需的设备和专业技术能力的证明材料或承诺书； 4、税收缴纳证明：提供2025年1月至今已缴纳的至少一个月的任意税种的纳税证明或完税证明，依法免税的单位应提供相关证明材料。 5、社会保障资金缴存证明：提供2025年1月至今已缴存的至少一个月的社会保障资金缴存单据或社保机构开具的社会保险参保缴费情况证明，依法不需要缴存社会保障资金的单位应提供相关证明材料。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1、供应商为合法注册的法人或其他组织，需提供具有统一社会信用代码的营业执照，事业单位需提供事业单位法人证书。 2、法定代表人参加的，须提供本人身份证复印件；法定代表人授权他人参加的须提供被授权代表身份证复印件，以及法定代表人委托授权书。</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1.供应商不得在“信用中国”被列入失信被执行人、政府采购严重违法失信行为记录名单、重大税收违法失信主体。 2.供应商不得在“中国政府采购网”被列入政府采购严重违法失信行为信息记录。 3.单位负责人为同一人或者存在控股、管理关系的不同单位，不得在同一标段中同时提出投标申请。</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2、具有良好的商业信誉和健全的财务会计制度[（供应商应提供2024）年经审计的财务报告或基本户开户行出具的资信证明]； 3、具备履行合同所必需的设备和专业技术能力的证明材料或承诺书； 4、税收缴纳证明：提供2025年1月至今已缴纳的至少一个月的任意税种的纳税证明或完税证明，依法免税的单位应提供相关证明材料。 5、社会保障资金缴存证明：提供2025年1月至今已缴存的至少一个月的社会保障资金缴存单据或社保机构开具的社会保险参保缴费情况证明，依法不需要缴存社会保障资金的单位应提供相关证明材料。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1、供应商为合法注册的法人或其他组织，需提供具有统一社会信用代码的营业执照，事业单位需提供事业单位法人证书。 2、法定代表人参加的，须提供本人身份证复印件；法定代表人授权他人参加的须提供被授权代表身份证复印件，以及法定代表人委托授权书。</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1.供应商不得在“信用中国”被列入失信被执行人、政府采购严重违法失信行为记录名单、重大税收违法失信主体。 2.供应商不得在“中国政府采购网”被列入政府采购严重违法失信行为信息记录。 3.单位负责人为同一人或者存在控股、管理关系的不同单位，不得在同一标段中同时提出投标申请。</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按采购文件格式要求加盖了供应商公章和有法定代表人或其授权代表签字或加盖人名章。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分部分项报价表标段一.docx 中小企业声明函 承诺书.docx 报价表 响应文件封面 残疾人福利性单位声明函 合同偏离表.docx 服务响应偏离表.docx 服务方案 标的清单 资格证明材料.docx 响应函 商务偏离表.docx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分部分项报价表标段一.docx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投标供应商承诺</w:t>
            </w:r>
          </w:p>
        </w:tc>
        <w:tc>
          <w:tcPr>
            <w:tcW w:type="dxa" w:w="3322"/>
          </w:tcPr>
          <w:p>
            <w:pPr>
              <w:pStyle w:val="null3"/>
            </w:pPr>
            <w:r>
              <w:rPr>
                <w:rFonts w:ascii="仿宋_GB2312" w:hAnsi="仿宋_GB2312" w:cs="仿宋_GB2312" w:eastAsia="仿宋_GB2312"/>
              </w:rPr>
              <w:t>按采购文件格式要求对《拒绝政府采购领域商业贿赂承诺书》、《参加政府采购活动行为自律承诺书》承诺书进行签署。</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按采购文件格式要求加盖了供应商公章和有法定代表人或其授权代表签字或加盖人名章。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中小企业声明函 承诺书.docx 报价表 分部分项报价表标段二.docx 响应文件封面 残疾人福利性单位声明函 合同偏离表.docx 服务响应偏离表.docx 服务方案 标的清单 资格证明材料.docx 响应函 商务偏离表.docx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标的清单 报价表 分部分项报价表标段二.docx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投标供应商承诺</w:t>
            </w:r>
          </w:p>
        </w:tc>
        <w:tc>
          <w:tcPr>
            <w:tcW w:type="dxa" w:w="3322"/>
          </w:tcPr>
          <w:p>
            <w:pPr>
              <w:pStyle w:val="null3"/>
            </w:pPr>
            <w:r>
              <w:rPr>
                <w:rFonts w:ascii="仿宋_GB2312" w:hAnsi="仿宋_GB2312" w:cs="仿宋_GB2312" w:eastAsia="仿宋_GB2312"/>
              </w:rPr>
              <w:t>按采购文件格式要求对《拒绝政府采购领域商业贿赂承诺书》、《参加政府采购活动行为自律承诺书》承诺书进行签署。</w:t>
            </w:r>
          </w:p>
        </w:tc>
        <w:tc>
          <w:tcPr>
            <w:tcW w:type="dxa" w:w="1661"/>
          </w:tcPr>
          <w:p>
            <w:pPr>
              <w:pStyle w:val="null3"/>
            </w:pPr>
            <w:r>
              <w:rPr>
                <w:rFonts w:ascii="仿宋_GB2312" w:hAnsi="仿宋_GB2312" w:cs="仿宋_GB2312" w:eastAsia="仿宋_GB2312"/>
              </w:rPr>
              <w:t>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详见附件：分部分项报价表标段一.docx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详见附件：合同偏离表.docx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详见附件：分部分项报价表标段二.docx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详见附件：合同偏离表.docx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