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40"/>
          <w:lang w:val="en-US" w:eastAsia="zh-CN"/>
        </w:rPr>
      </w:pPr>
      <w:r>
        <w:rPr>
          <w:rFonts w:hint="eastAsia"/>
          <w:b/>
          <w:bCs/>
          <w:sz w:val="32"/>
          <w:szCs w:val="40"/>
          <w:lang w:val="en-US" w:eastAsia="zh-CN"/>
        </w:rPr>
        <w:t>分部分项报价表</w:t>
      </w:r>
    </w:p>
    <w:tbl>
      <w:tblPr>
        <w:tblStyle w:val="4"/>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4080"/>
        <w:gridCol w:w="1470"/>
        <w:gridCol w:w="872"/>
        <w:gridCol w:w="1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73" w:type="pct"/>
          </w:tcPr>
          <w:p>
            <w:pPr>
              <w:spacing w:line="360" w:lineRule="auto"/>
              <w:jc w:val="both"/>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序号</w:t>
            </w:r>
          </w:p>
        </w:tc>
        <w:tc>
          <w:tcPr>
            <w:tcW w:w="2397" w:type="pct"/>
          </w:tcPr>
          <w:p>
            <w:pPr>
              <w:spacing w:line="360" w:lineRule="auto"/>
              <w:jc w:val="both"/>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具体技术（参数）要求</w:t>
            </w:r>
          </w:p>
        </w:tc>
        <w:tc>
          <w:tcPr>
            <w:tcW w:w="863" w:type="pct"/>
          </w:tcPr>
          <w:p>
            <w:pPr>
              <w:spacing w:line="360" w:lineRule="auto"/>
              <w:jc w:val="center"/>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分项</w:t>
            </w:r>
            <w:bookmarkStart w:id="0" w:name="_GoBack"/>
            <w:bookmarkEnd w:id="0"/>
            <w:r>
              <w:rPr>
                <w:rFonts w:hint="eastAsia" w:ascii="宋体" w:hAnsi="宋体" w:eastAsia="宋体" w:cs="宋体"/>
                <w:b w:val="0"/>
                <w:bCs w:val="0"/>
                <w:sz w:val="28"/>
                <w:szCs w:val="28"/>
                <w:vertAlign w:val="baseline"/>
                <w:lang w:val="en-US" w:eastAsia="zh-CN"/>
              </w:rPr>
              <w:t>报价</w:t>
            </w:r>
          </w:p>
          <w:p>
            <w:pPr>
              <w:spacing w:line="360" w:lineRule="auto"/>
              <w:jc w:val="center"/>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（元/月）</w:t>
            </w:r>
          </w:p>
        </w:tc>
        <w:tc>
          <w:tcPr>
            <w:tcW w:w="512" w:type="pct"/>
          </w:tcPr>
          <w:p>
            <w:pPr>
              <w:spacing w:line="360" w:lineRule="auto"/>
              <w:jc w:val="both"/>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合计</w:t>
            </w:r>
          </w:p>
        </w:tc>
        <w:tc>
          <w:tcPr>
            <w:tcW w:w="852" w:type="pct"/>
          </w:tcPr>
          <w:p>
            <w:pPr>
              <w:spacing w:line="360" w:lineRule="auto"/>
              <w:jc w:val="both"/>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5"/>
          </w:tcPr>
          <w:p>
            <w:pPr>
              <w:spacing w:line="360" w:lineRule="auto"/>
              <w:jc w:val="both"/>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标段一、通讯线路服务（中国移动）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5"/>
          </w:tcPr>
          <w:p>
            <w:pPr>
              <w:spacing w:line="360" w:lineRule="auto"/>
              <w:jc w:val="both"/>
              <w:rPr>
                <w:rFonts w:hint="eastAsia" w:ascii="宋体" w:hAnsi="宋体" w:eastAsia="宋体" w:cs="宋体"/>
                <w:b w:val="0"/>
                <w:bCs w:val="0"/>
                <w:sz w:val="28"/>
                <w:szCs w:val="28"/>
                <w:vertAlign w:val="baseline"/>
                <w:lang w:val="en-US" w:eastAsia="zh-CN"/>
              </w:rPr>
            </w:pPr>
            <w:r>
              <w:rPr>
                <w:rFonts w:hint="eastAsia" w:ascii="仿宋" w:hAnsi="仿宋" w:eastAsia="仿宋" w:cs="仿宋"/>
                <w:color w:val="auto"/>
                <w:kern w:val="0"/>
                <w:sz w:val="28"/>
                <w:szCs w:val="28"/>
                <w:highlight w:val="none"/>
                <w:lang w:val="en-US" w:eastAsia="zh-CN"/>
              </w:rPr>
              <w:t>1 多媒体固话及短信平台服务，服务期自2026年5月1日至2027年12月31日，共20个月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3" w:type="pct"/>
          </w:tcPr>
          <w:p>
            <w:pPr>
              <w:spacing w:line="360" w:lineRule="auto"/>
              <w:jc w:val="both"/>
              <w:rPr>
                <w:rFonts w:hint="eastAsia" w:ascii="宋体" w:hAnsi="宋体" w:eastAsia="宋体" w:cs="宋体"/>
                <w:b w:val="0"/>
                <w:bCs w:val="0"/>
                <w:sz w:val="28"/>
                <w:szCs w:val="28"/>
                <w:vertAlign w:val="baseline"/>
                <w:lang w:val="en-US" w:eastAsia="zh-CN"/>
              </w:rPr>
            </w:pPr>
            <w:r>
              <w:rPr>
                <w:rFonts w:hint="eastAsia" w:ascii="仿宋" w:hAnsi="仿宋" w:eastAsia="仿宋" w:cs="仿宋"/>
                <w:color w:val="auto"/>
                <w:kern w:val="0"/>
                <w:sz w:val="28"/>
                <w:szCs w:val="28"/>
                <w:highlight w:val="none"/>
                <w:lang w:val="en-US" w:eastAsia="zh-CN"/>
              </w:rPr>
              <w:t>1.1</w:t>
            </w:r>
          </w:p>
        </w:tc>
        <w:tc>
          <w:tcPr>
            <w:tcW w:w="2397" w:type="pct"/>
            <w:vAlign w:val="center"/>
          </w:tcPr>
          <w:p>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ind w:left="0" w:leftChars="0" w:firstLine="0" w:firstLineChars="0"/>
              <w:jc w:val="left"/>
              <w:textAlignment w:val="auto"/>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为医院提供≥1200路固话服务，实现两院区短号互拨，外部线路故障时仍可正常进行内线通话，实现总分机功能，实现停电两小时业务不中断服务。</w:t>
            </w:r>
          </w:p>
        </w:tc>
        <w:tc>
          <w:tcPr>
            <w:tcW w:w="863" w:type="pct"/>
          </w:tcPr>
          <w:p>
            <w:pPr>
              <w:spacing w:line="360" w:lineRule="auto"/>
              <w:jc w:val="both"/>
              <w:rPr>
                <w:rFonts w:hint="eastAsia" w:ascii="宋体" w:hAnsi="宋体" w:eastAsia="宋体" w:cs="宋体"/>
                <w:b w:val="0"/>
                <w:bCs w:val="0"/>
                <w:sz w:val="28"/>
                <w:szCs w:val="28"/>
                <w:vertAlign w:val="baseline"/>
                <w:lang w:val="en-US" w:eastAsia="zh-CN"/>
              </w:rPr>
            </w:pPr>
          </w:p>
        </w:tc>
        <w:tc>
          <w:tcPr>
            <w:tcW w:w="512" w:type="pct"/>
          </w:tcPr>
          <w:p>
            <w:pPr>
              <w:spacing w:line="360" w:lineRule="auto"/>
              <w:jc w:val="both"/>
              <w:rPr>
                <w:rFonts w:hint="eastAsia" w:ascii="宋体" w:hAnsi="宋体" w:eastAsia="宋体" w:cs="宋体"/>
                <w:b w:val="0"/>
                <w:bCs w:val="0"/>
                <w:sz w:val="28"/>
                <w:szCs w:val="28"/>
                <w:vertAlign w:val="baseline"/>
                <w:lang w:val="en-US" w:eastAsia="zh-CN"/>
              </w:rPr>
            </w:pPr>
          </w:p>
        </w:tc>
        <w:tc>
          <w:tcPr>
            <w:tcW w:w="852" w:type="pct"/>
          </w:tcPr>
          <w:p>
            <w:pPr>
              <w:spacing w:line="360" w:lineRule="auto"/>
              <w:jc w:val="both"/>
              <w:rPr>
                <w:rFonts w:hint="eastAsia" w:ascii="宋体" w:hAnsi="宋体" w:eastAsia="宋体" w:cs="宋体"/>
                <w:b w:val="0"/>
                <w:bCs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373" w:type="pct"/>
          </w:tcPr>
          <w:p>
            <w:pPr>
              <w:spacing w:line="360" w:lineRule="auto"/>
              <w:jc w:val="both"/>
              <w:rPr>
                <w:rFonts w:hint="eastAsia" w:ascii="宋体" w:hAnsi="宋体" w:eastAsia="宋体" w:cs="宋体"/>
                <w:b w:val="0"/>
                <w:bCs w:val="0"/>
                <w:sz w:val="28"/>
                <w:szCs w:val="28"/>
                <w:vertAlign w:val="baseline"/>
                <w:lang w:val="en-US" w:eastAsia="zh-CN"/>
              </w:rPr>
            </w:pPr>
            <w:r>
              <w:rPr>
                <w:rFonts w:hint="eastAsia" w:ascii="仿宋" w:hAnsi="仿宋" w:eastAsia="仿宋" w:cs="仿宋"/>
                <w:color w:val="auto"/>
                <w:kern w:val="0"/>
                <w:sz w:val="28"/>
                <w:szCs w:val="28"/>
                <w:highlight w:val="none"/>
                <w:lang w:val="en-US" w:eastAsia="zh-CN"/>
              </w:rPr>
              <w:t>1.2</w:t>
            </w:r>
          </w:p>
        </w:tc>
        <w:tc>
          <w:tcPr>
            <w:tcW w:w="2397" w:type="pct"/>
            <w:vAlign w:val="center"/>
          </w:tcPr>
          <w:p>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ind w:left="0" w:leftChars="0" w:firstLine="0" w:firstLineChars="0"/>
              <w:jc w:val="left"/>
              <w:textAlignment w:val="auto"/>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无座机、装机等其他费用，为本项目提供连续号段</w:t>
            </w:r>
          </w:p>
        </w:tc>
        <w:tc>
          <w:tcPr>
            <w:tcW w:w="863" w:type="pct"/>
          </w:tcPr>
          <w:p>
            <w:pPr>
              <w:spacing w:line="360" w:lineRule="auto"/>
              <w:jc w:val="both"/>
              <w:rPr>
                <w:rFonts w:hint="eastAsia" w:ascii="宋体" w:hAnsi="宋体" w:eastAsia="宋体" w:cs="宋体"/>
                <w:b w:val="0"/>
                <w:bCs w:val="0"/>
                <w:sz w:val="28"/>
                <w:szCs w:val="28"/>
                <w:vertAlign w:val="baseline"/>
                <w:lang w:val="en-US" w:eastAsia="zh-CN"/>
              </w:rPr>
            </w:pPr>
          </w:p>
        </w:tc>
        <w:tc>
          <w:tcPr>
            <w:tcW w:w="512" w:type="pct"/>
          </w:tcPr>
          <w:p>
            <w:pPr>
              <w:spacing w:line="360" w:lineRule="auto"/>
              <w:jc w:val="both"/>
              <w:rPr>
                <w:rFonts w:hint="eastAsia" w:ascii="宋体" w:hAnsi="宋体" w:eastAsia="宋体" w:cs="宋体"/>
                <w:b w:val="0"/>
                <w:bCs w:val="0"/>
                <w:sz w:val="28"/>
                <w:szCs w:val="28"/>
                <w:vertAlign w:val="baseline"/>
                <w:lang w:val="en-US" w:eastAsia="zh-CN"/>
              </w:rPr>
            </w:pPr>
          </w:p>
        </w:tc>
        <w:tc>
          <w:tcPr>
            <w:tcW w:w="852" w:type="pct"/>
          </w:tcPr>
          <w:p>
            <w:pPr>
              <w:spacing w:line="360" w:lineRule="auto"/>
              <w:jc w:val="both"/>
              <w:rPr>
                <w:rFonts w:hint="eastAsia" w:ascii="宋体" w:hAnsi="宋体" w:eastAsia="宋体" w:cs="宋体"/>
                <w:b w:val="0"/>
                <w:bCs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3" w:type="pct"/>
          </w:tcPr>
          <w:p>
            <w:pPr>
              <w:spacing w:line="360" w:lineRule="auto"/>
              <w:jc w:val="both"/>
              <w:rPr>
                <w:rFonts w:hint="eastAsia" w:ascii="宋体" w:hAnsi="宋体" w:eastAsia="宋体" w:cs="宋体"/>
                <w:b w:val="0"/>
                <w:bCs w:val="0"/>
                <w:sz w:val="28"/>
                <w:szCs w:val="28"/>
                <w:vertAlign w:val="baseline"/>
                <w:lang w:val="en-US" w:eastAsia="zh-CN"/>
              </w:rPr>
            </w:pPr>
            <w:r>
              <w:rPr>
                <w:rFonts w:hint="eastAsia" w:ascii="仿宋" w:hAnsi="仿宋" w:eastAsia="仿宋" w:cs="仿宋"/>
                <w:color w:val="auto"/>
                <w:kern w:val="0"/>
                <w:sz w:val="28"/>
                <w:szCs w:val="28"/>
                <w:highlight w:val="none"/>
                <w:lang w:val="en-US" w:eastAsia="zh-CN"/>
              </w:rPr>
              <w:t>1.3</w:t>
            </w:r>
          </w:p>
        </w:tc>
        <w:tc>
          <w:tcPr>
            <w:tcW w:w="2397" w:type="pct"/>
            <w:vAlign w:val="center"/>
          </w:tcPr>
          <w:p>
            <w:pPr>
              <w:pStyle w:val="6"/>
              <w:keepNext w:val="0"/>
              <w:keepLines w:val="0"/>
              <w:pageBreakBefore w:val="0"/>
              <w:widowControl/>
              <w:numPr>
                <w:ilvl w:val="0"/>
                <w:numId w:val="0"/>
              </w:numPr>
              <w:kinsoku/>
              <w:wordWrap/>
              <w:overflowPunct/>
              <w:topLinePunct w:val="0"/>
              <w:autoSpaceDE/>
              <w:autoSpaceDN/>
              <w:bidi w:val="0"/>
              <w:adjustRightInd/>
              <w:snapToGrid/>
              <w:spacing w:line="360" w:lineRule="exact"/>
              <w:ind w:left="0" w:leftChars="0" w:firstLine="0" w:firstLineChars="0"/>
              <w:jc w:val="both"/>
              <w:textAlignment w:val="auto"/>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提供固话话费倍打优惠1包2；包含通话时长≥200000分钟/月</w:t>
            </w:r>
          </w:p>
        </w:tc>
        <w:tc>
          <w:tcPr>
            <w:tcW w:w="863" w:type="pct"/>
          </w:tcPr>
          <w:p>
            <w:pPr>
              <w:spacing w:line="360" w:lineRule="auto"/>
              <w:jc w:val="both"/>
              <w:rPr>
                <w:rFonts w:hint="eastAsia" w:ascii="宋体" w:hAnsi="宋体" w:eastAsia="宋体" w:cs="宋体"/>
                <w:b w:val="0"/>
                <w:bCs w:val="0"/>
                <w:sz w:val="28"/>
                <w:szCs w:val="28"/>
                <w:vertAlign w:val="baseline"/>
                <w:lang w:val="en-US" w:eastAsia="zh-CN"/>
              </w:rPr>
            </w:pPr>
          </w:p>
        </w:tc>
        <w:tc>
          <w:tcPr>
            <w:tcW w:w="512" w:type="pct"/>
          </w:tcPr>
          <w:p>
            <w:pPr>
              <w:spacing w:line="360" w:lineRule="auto"/>
              <w:jc w:val="both"/>
              <w:rPr>
                <w:rFonts w:hint="eastAsia" w:ascii="宋体" w:hAnsi="宋体" w:eastAsia="宋体" w:cs="宋体"/>
                <w:b w:val="0"/>
                <w:bCs w:val="0"/>
                <w:sz w:val="28"/>
                <w:szCs w:val="28"/>
                <w:vertAlign w:val="baseline"/>
                <w:lang w:val="en-US" w:eastAsia="zh-CN"/>
              </w:rPr>
            </w:pPr>
          </w:p>
        </w:tc>
        <w:tc>
          <w:tcPr>
            <w:tcW w:w="852" w:type="pct"/>
          </w:tcPr>
          <w:p>
            <w:pPr>
              <w:spacing w:line="360" w:lineRule="auto"/>
              <w:jc w:val="both"/>
              <w:rPr>
                <w:rFonts w:hint="eastAsia" w:ascii="宋体" w:hAnsi="宋体" w:eastAsia="宋体" w:cs="宋体"/>
                <w:b w:val="0"/>
                <w:bCs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3" w:type="pct"/>
          </w:tcPr>
          <w:p>
            <w:pPr>
              <w:spacing w:line="360" w:lineRule="auto"/>
              <w:jc w:val="both"/>
              <w:rPr>
                <w:rFonts w:hint="eastAsia" w:ascii="宋体" w:hAnsi="宋体" w:eastAsia="宋体" w:cs="宋体"/>
                <w:b w:val="0"/>
                <w:bCs w:val="0"/>
                <w:sz w:val="28"/>
                <w:szCs w:val="28"/>
                <w:vertAlign w:val="baseline"/>
                <w:lang w:val="en-US" w:eastAsia="zh-CN"/>
              </w:rPr>
            </w:pPr>
            <w:r>
              <w:rPr>
                <w:rFonts w:hint="eastAsia" w:ascii="仿宋" w:hAnsi="仿宋" w:eastAsia="仿宋" w:cs="仿宋"/>
                <w:color w:val="auto"/>
                <w:kern w:val="0"/>
                <w:sz w:val="28"/>
                <w:szCs w:val="28"/>
                <w:highlight w:val="none"/>
                <w:lang w:val="en-US" w:eastAsia="zh-CN"/>
              </w:rPr>
              <w:t>1.4</w:t>
            </w:r>
          </w:p>
        </w:tc>
        <w:tc>
          <w:tcPr>
            <w:tcW w:w="2397" w:type="pct"/>
            <w:vAlign w:val="top"/>
          </w:tcPr>
          <w:p>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ind w:left="0" w:leftChars="0" w:firstLine="0" w:firstLineChars="0"/>
              <w:jc w:val="left"/>
              <w:textAlignment w:val="auto"/>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提供院内搬迁、变更增补语音设备及光缆施工服务</w:t>
            </w:r>
          </w:p>
        </w:tc>
        <w:tc>
          <w:tcPr>
            <w:tcW w:w="863" w:type="pct"/>
          </w:tcPr>
          <w:p>
            <w:pPr>
              <w:spacing w:line="360" w:lineRule="auto"/>
              <w:jc w:val="both"/>
              <w:rPr>
                <w:rFonts w:hint="eastAsia" w:ascii="宋体" w:hAnsi="宋体" w:eastAsia="宋体" w:cs="宋体"/>
                <w:b w:val="0"/>
                <w:bCs w:val="0"/>
                <w:sz w:val="28"/>
                <w:szCs w:val="28"/>
                <w:vertAlign w:val="baseline"/>
                <w:lang w:val="en-US" w:eastAsia="zh-CN"/>
              </w:rPr>
            </w:pPr>
          </w:p>
        </w:tc>
        <w:tc>
          <w:tcPr>
            <w:tcW w:w="512" w:type="pct"/>
          </w:tcPr>
          <w:p>
            <w:pPr>
              <w:spacing w:line="360" w:lineRule="auto"/>
              <w:jc w:val="both"/>
              <w:rPr>
                <w:rFonts w:hint="eastAsia" w:ascii="宋体" w:hAnsi="宋体" w:eastAsia="宋体" w:cs="宋体"/>
                <w:b w:val="0"/>
                <w:bCs w:val="0"/>
                <w:sz w:val="28"/>
                <w:szCs w:val="28"/>
                <w:vertAlign w:val="baseline"/>
                <w:lang w:val="en-US" w:eastAsia="zh-CN"/>
              </w:rPr>
            </w:pPr>
          </w:p>
        </w:tc>
        <w:tc>
          <w:tcPr>
            <w:tcW w:w="852" w:type="pct"/>
          </w:tcPr>
          <w:p>
            <w:pPr>
              <w:spacing w:line="360" w:lineRule="auto"/>
              <w:jc w:val="both"/>
              <w:rPr>
                <w:rFonts w:hint="eastAsia" w:ascii="宋体" w:hAnsi="宋体" w:eastAsia="宋体" w:cs="宋体"/>
                <w:b w:val="0"/>
                <w:bCs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3" w:type="pct"/>
          </w:tcPr>
          <w:p>
            <w:pPr>
              <w:spacing w:line="360" w:lineRule="auto"/>
              <w:jc w:val="both"/>
              <w:rPr>
                <w:rFonts w:hint="eastAsia" w:ascii="宋体" w:hAnsi="宋体" w:eastAsia="宋体" w:cs="宋体"/>
                <w:b w:val="0"/>
                <w:bCs w:val="0"/>
                <w:sz w:val="28"/>
                <w:szCs w:val="28"/>
                <w:vertAlign w:val="baseline"/>
                <w:lang w:val="en-US" w:eastAsia="zh-CN"/>
              </w:rPr>
            </w:pPr>
            <w:r>
              <w:rPr>
                <w:rFonts w:hint="eastAsia" w:ascii="仿宋" w:hAnsi="仿宋" w:eastAsia="仿宋" w:cs="仿宋"/>
                <w:color w:val="auto"/>
                <w:kern w:val="0"/>
                <w:sz w:val="28"/>
                <w:szCs w:val="28"/>
                <w:highlight w:val="none"/>
                <w:lang w:val="en-US" w:eastAsia="zh-CN"/>
              </w:rPr>
              <w:t>1.5</w:t>
            </w:r>
          </w:p>
        </w:tc>
        <w:tc>
          <w:tcPr>
            <w:tcW w:w="2397" w:type="pct"/>
            <w:vAlign w:val="center"/>
          </w:tcPr>
          <w:p>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ind w:left="0" w:leftChars="0" w:firstLine="0" w:firstLineChars="0"/>
              <w:jc w:val="left"/>
              <w:textAlignment w:val="auto"/>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提供程控交换机及相关附属设备维保服务</w:t>
            </w:r>
          </w:p>
        </w:tc>
        <w:tc>
          <w:tcPr>
            <w:tcW w:w="863" w:type="pct"/>
          </w:tcPr>
          <w:p>
            <w:pPr>
              <w:spacing w:line="360" w:lineRule="auto"/>
              <w:jc w:val="both"/>
              <w:rPr>
                <w:rFonts w:hint="eastAsia" w:ascii="宋体" w:hAnsi="宋体" w:eastAsia="宋体" w:cs="宋体"/>
                <w:b w:val="0"/>
                <w:bCs w:val="0"/>
                <w:sz w:val="28"/>
                <w:szCs w:val="28"/>
                <w:vertAlign w:val="baseline"/>
                <w:lang w:val="en-US" w:eastAsia="zh-CN"/>
              </w:rPr>
            </w:pPr>
          </w:p>
        </w:tc>
        <w:tc>
          <w:tcPr>
            <w:tcW w:w="512" w:type="pct"/>
          </w:tcPr>
          <w:p>
            <w:pPr>
              <w:spacing w:line="360" w:lineRule="auto"/>
              <w:jc w:val="both"/>
              <w:rPr>
                <w:rFonts w:hint="eastAsia" w:ascii="宋体" w:hAnsi="宋体" w:eastAsia="宋体" w:cs="宋体"/>
                <w:b w:val="0"/>
                <w:bCs w:val="0"/>
                <w:sz w:val="28"/>
                <w:szCs w:val="28"/>
                <w:vertAlign w:val="baseline"/>
                <w:lang w:val="en-US" w:eastAsia="zh-CN"/>
              </w:rPr>
            </w:pPr>
          </w:p>
        </w:tc>
        <w:tc>
          <w:tcPr>
            <w:tcW w:w="852" w:type="pct"/>
          </w:tcPr>
          <w:p>
            <w:pPr>
              <w:spacing w:line="360" w:lineRule="auto"/>
              <w:jc w:val="both"/>
              <w:rPr>
                <w:rFonts w:hint="eastAsia" w:ascii="宋体" w:hAnsi="宋体" w:eastAsia="宋体" w:cs="宋体"/>
                <w:b w:val="0"/>
                <w:bCs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3" w:type="pct"/>
          </w:tcPr>
          <w:p>
            <w:pPr>
              <w:spacing w:line="360" w:lineRule="auto"/>
              <w:jc w:val="both"/>
              <w:rPr>
                <w:rFonts w:hint="eastAsia" w:ascii="宋体" w:hAnsi="宋体" w:eastAsia="宋体" w:cs="宋体"/>
                <w:b w:val="0"/>
                <w:bCs w:val="0"/>
                <w:sz w:val="28"/>
                <w:szCs w:val="28"/>
                <w:vertAlign w:val="baseline"/>
                <w:lang w:val="en-US" w:eastAsia="zh-CN"/>
              </w:rPr>
            </w:pPr>
            <w:r>
              <w:rPr>
                <w:rFonts w:hint="eastAsia" w:ascii="仿宋" w:hAnsi="仿宋" w:eastAsia="仿宋" w:cs="仿宋"/>
                <w:color w:val="auto"/>
                <w:kern w:val="0"/>
                <w:sz w:val="28"/>
                <w:szCs w:val="28"/>
                <w:highlight w:val="none"/>
                <w:lang w:val="en-US" w:eastAsia="zh-CN"/>
              </w:rPr>
              <w:t>1.6</w:t>
            </w:r>
          </w:p>
        </w:tc>
        <w:tc>
          <w:tcPr>
            <w:tcW w:w="2397" w:type="pct"/>
            <w:vAlign w:val="center"/>
          </w:tcPr>
          <w:p>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ind w:left="0" w:leftChars="0" w:firstLine="0" w:firstLineChars="0"/>
              <w:jc w:val="left"/>
              <w:textAlignment w:val="auto"/>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短信平台服务：全国全网号码短信发送≥60000条/月</w:t>
            </w:r>
          </w:p>
        </w:tc>
        <w:tc>
          <w:tcPr>
            <w:tcW w:w="863" w:type="pct"/>
          </w:tcPr>
          <w:p>
            <w:pPr>
              <w:spacing w:line="360" w:lineRule="auto"/>
              <w:jc w:val="both"/>
              <w:rPr>
                <w:rFonts w:hint="eastAsia" w:ascii="宋体" w:hAnsi="宋体" w:eastAsia="宋体" w:cs="宋体"/>
                <w:b w:val="0"/>
                <w:bCs w:val="0"/>
                <w:sz w:val="28"/>
                <w:szCs w:val="28"/>
                <w:vertAlign w:val="baseline"/>
                <w:lang w:val="en-US" w:eastAsia="zh-CN"/>
              </w:rPr>
            </w:pPr>
          </w:p>
        </w:tc>
        <w:tc>
          <w:tcPr>
            <w:tcW w:w="512" w:type="pct"/>
          </w:tcPr>
          <w:p>
            <w:pPr>
              <w:spacing w:line="360" w:lineRule="auto"/>
              <w:jc w:val="both"/>
              <w:rPr>
                <w:rFonts w:hint="eastAsia" w:ascii="宋体" w:hAnsi="宋体" w:eastAsia="宋体" w:cs="宋体"/>
                <w:b w:val="0"/>
                <w:bCs w:val="0"/>
                <w:sz w:val="28"/>
                <w:szCs w:val="28"/>
                <w:vertAlign w:val="baseline"/>
                <w:lang w:val="en-US" w:eastAsia="zh-CN"/>
              </w:rPr>
            </w:pPr>
          </w:p>
        </w:tc>
        <w:tc>
          <w:tcPr>
            <w:tcW w:w="852" w:type="pct"/>
          </w:tcPr>
          <w:p>
            <w:pPr>
              <w:spacing w:line="360" w:lineRule="auto"/>
              <w:jc w:val="both"/>
              <w:rPr>
                <w:rFonts w:hint="eastAsia" w:ascii="宋体" w:hAnsi="宋体" w:eastAsia="宋体" w:cs="宋体"/>
                <w:b w:val="0"/>
                <w:bCs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3" w:type="pct"/>
          </w:tcPr>
          <w:p>
            <w:pPr>
              <w:spacing w:line="360" w:lineRule="auto"/>
              <w:jc w:val="both"/>
              <w:rPr>
                <w:rFonts w:hint="eastAsia" w:ascii="宋体" w:hAnsi="宋体" w:eastAsia="宋体" w:cs="宋体"/>
                <w:b w:val="0"/>
                <w:bCs w:val="0"/>
                <w:sz w:val="28"/>
                <w:szCs w:val="28"/>
                <w:vertAlign w:val="baseline"/>
                <w:lang w:val="en-US" w:eastAsia="zh-CN"/>
              </w:rPr>
            </w:pPr>
            <w:r>
              <w:rPr>
                <w:rFonts w:hint="eastAsia" w:ascii="仿宋" w:hAnsi="仿宋" w:eastAsia="仿宋" w:cs="仿宋"/>
                <w:color w:val="auto"/>
                <w:kern w:val="0"/>
                <w:sz w:val="28"/>
                <w:szCs w:val="28"/>
                <w:highlight w:val="none"/>
                <w:lang w:val="en-US" w:eastAsia="zh-CN"/>
              </w:rPr>
              <w:t>1.7</w:t>
            </w:r>
          </w:p>
        </w:tc>
        <w:tc>
          <w:tcPr>
            <w:tcW w:w="2397" w:type="pct"/>
            <w:vAlign w:val="center"/>
          </w:tcPr>
          <w:p>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ind w:left="0" w:leftChars="0" w:firstLine="0" w:firstLineChars="0"/>
              <w:jc w:val="left"/>
              <w:textAlignment w:val="auto"/>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提供≥3部固话号码的企业名片业务</w:t>
            </w:r>
          </w:p>
        </w:tc>
        <w:tc>
          <w:tcPr>
            <w:tcW w:w="863" w:type="pct"/>
          </w:tcPr>
          <w:p>
            <w:pPr>
              <w:spacing w:line="360" w:lineRule="auto"/>
              <w:jc w:val="both"/>
              <w:rPr>
                <w:rFonts w:hint="eastAsia" w:ascii="宋体" w:hAnsi="宋体" w:eastAsia="宋体" w:cs="宋体"/>
                <w:b w:val="0"/>
                <w:bCs w:val="0"/>
                <w:sz w:val="28"/>
                <w:szCs w:val="28"/>
                <w:vertAlign w:val="baseline"/>
                <w:lang w:val="en-US" w:eastAsia="zh-CN"/>
              </w:rPr>
            </w:pPr>
          </w:p>
        </w:tc>
        <w:tc>
          <w:tcPr>
            <w:tcW w:w="512" w:type="pct"/>
          </w:tcPr>
          <w:p>
            <w:pPr>
              <w:spacing w:line="360" w:lineRule="auto"/>
              <w:jc w:val="both"/>
              <w:rPr>
                <w:rFonts w:hint="eastAsia" w:ascii="宋体" w:hAnsi="宋体" w:eastAsia="宋体" w:cs="宋体"/>
                <w:b w:val="0"/>
                <w:bCs w:val="0"/>
                <w:sz w:val="28"/>
                <w:szCs w:val="28"/>
                <w:vertAlign w:val="baseline"/>
                <w:lang w:val="en-US" w:eastAsia="zh-CN"/>
              </w:rPr>
            </w:pPr>
          </w:p>
        </w:tc>
        <w:tc>
          <w:tcPr>
            <w:tcW w:w="852" w:type="pct"/>
          </w:tcPr>
          <w:p>
            <w:pPr>
              <w:spacing w:line="360" w:lineRule="auto"/>
              <w:jc w:val="both"/>
              <w:rPr>
                <w:rFonts w:hint="eastAsia" w:ascii="宋体" w:hAnsi="宋体" w:eastAsia="宋体" w:cs="宋体"/>
                <w:b w:val="0"/>
                <w:bCs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3" w:type="pct"/>
          </w:tcPr>
          <w:p>
            <w:pPr>
              <w:spacing w:line="360" w:lineRule="auto"/>
              <w:jc w:val="both"/>
              <w:rPr>
                <w:rFonts w:hint="eastAsia" w:ascii="宋体" w:hAnsi="宋体" w:eastAsia="宋体" w:cs="宋体"/>
                <w:b w:val="0"/>
                <w:bCs w:val="0"/>
                <w:sz w:val="28"/>
                <w:szCs w:val="28"/>
                <w:vertAlign w:val="baseline"/>
                <w:lang w:val="en-US" w:eastAsia="zh-CN"/>
              </w:rPr>
            </w:pPr>
            <w:r>
              <w:rPr>
                <w:rFonts w:hint="eastAsia" w:ascii="仿宋" w:hAnsi="仿宋" w:eastAsia="仿宋" w:cs="仿宋"/>
                <w:color w:val="auto"/>
                <w:kern w:val="0"/>
                <w:sz w:val="28"/>
                <w:szCs w:val="28"/>
                <w:highlight w:val="none"/>
                <w:lang w:val="en-US" w:eastAsia="zh-CN"/>
              </w:rPr>
              <w:t>1.8</w:t>
            </w:r>
          </w:p>
        </w:tc>
        <w:tc>
          <w:tcPr>
            <w:tcW w:w="2397" w:type="pct"/>
            <w:vAlign w:val="center"/>
          </w:tcPr>
          <w:p>
            <w:pPr>
              <w:pStyle w:val="2"/>
              <w:keepNext w:val="0"/>
              <w:keepLines w:val="0"/>
              <w:pageBreakBefore w:val="0"/>
              <w:numPr>
                <w:ilvl w:val="0"/>
                <w:numId w:val="0"/>
              </w:numPr>
              <w:kinsoku/>
              <w:wordWrap/>
              <w:overflowPunct/>
              <w:topLinePunct w:val="0"/>
              <w:autoSpaceDE/>
              <w:autoSpaceDN/>
              <w:bidi w:val="0"/>
              <w:adjustRightInd/>
              <w:snapToGrid/>
              <w:spacing w:line="360" w:lineRule="exact"/>
              <w:ind w:left="0" w:leftChars="0" w:firstLine="0" w:firstLineChars="0"/>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rPr>
              <w:t>提供智能随访系统语音线路及智能随访系统，实现大容量并发服务</w:t>
            </w:r>
          </w:p>
        </w:tc>
        <w:tc>
          <w:tcPr>
            <w:tcW w:w="863" w:type="pct"/>
          </w:tcPr>
          <w:p>
            <w:pPr>
              <w:spacing w:line="360" w:lineRule="auto"/>
              <w:jc w:val="both"/>
              <w:rPr>
                <w:rFonts w:hint="eastAsia" w:ascii="宋体" w:hAnsi="宋体" w:eastAsia="宋体" w:cs="宋体"/>
                <w:b w:val="0"/>
                <w:bCs w:val="0"/>
                <w:sz w:val="28"/>
                <w:szCs w:val="28"/>
                <w:vertAlign w:val="baseline"/>
                <w:lang w:val="en-US" w:eastAsia="zh-CN"/>
              </w:rPr>
            </w:pPr>
          </w:p>
        </w:tc>
        <w:tc>
          <w:tcPr>
            <w:tcW w:w="512" w:type="pct"/>
          </w:tcPr>
          <w:p>
            <w:pPr>
              <w:spacing w:line="360" w:lineRule="auto"/>
              <w:jc w:val="both"/>
              <w:rPr>
                <w:rFonts w:hint="eastAsia" w:ascii="宋体" w:hAnsi="宋体" w:eastAsia="宋体" w:cs="宋体"/>
                <w:b w:val="0"/>
                <w:bCs w:val="0"/>
                <w:sz w:val="28"/>
                <w:szCs w:val="28"/>
                <w:vertAlign w:val="baseline"/>
                <w:lang w:val="en-US" w:eastAsia="zh-CN"/>
              </w:rPr>
            </w:pPr>
          </w:p>
        </w:tc>
        <w:tc>
          <w:tcPr>
            <w:tcW w:w="852" w:type="pct"/>
          </w:tcPr>
          <w:p>
            <w:pPr>
              <w:spacing w:line="360" w:lineRule="auto"/>
              <w:jc w:val="both"/>
              <w:rPr>
                <w:rFonts w:hint="eastAsia" w:ascii="宋体" w:hAnsi="宋体" w:eastAsia="宋体" w:cs="宋体"/>
                <w:b w:val="0"/>
                <w:bCs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3" w:type="pct"/>
          </w:tcPr>
          <w:p>
            <w:pPr>
              <w:spacing w:line="360" w:lineRule="auto"/>
              <w:jc w:val="both"/>
              <w:rPr>
                <w:rFonts w:hint="eastAsia" w:ascii="宋体" w:hAnsi="宋体" w:eastAsia="宋体" w:cs="宋体"/>
                <w:b w:val="0"/>
                <w:bCs w:val="0"/>
                <w:sz w:val="28"/>
                <w:szCs w:val="28"/>
                <w:vertAlign w:val="baseline"/>
                <w:lang w:val="en-US" w:eastAsia="zh-CN"/>
              </w:rPr>
            </w:pPr>
            <w:r>
              <w:rPr>
                <w:rFonts w:hint="eastAsia" w:ascii="仿宋" w:hAnsi="仿宋" w:eastAsia="仿宋" w:cs="仿宋"/>
                <w:color w:val="auto"/>
                <w:kern w:val="0"/>
                <w:sz w:val="28"/>
                <w:szCs w:val="28"/>
                <w:highlight w:val="none"/>
                <w:lang w:val="en-US" w:eastAsia="zh-CN"/>
              </w:rPr>
              <w:t>1.9</w:t>
            </w:r>
          </w:p>
        </w:tc>
        <w:tc>
          <w:tcPr>
            <w:tcW w:w="2397" w:type="pct"/>
            <w:vAlign w:val="center"/>
          </w:tcPr>
          <w:p>
            <w:pPr>
              <w:pStyle w:val="2"/>
              <w:keepNext w:val="0"/>
              <w:keepLines w:val="0"/>
              <w:pageBreakBefore w:val="0"/>
              <w:numPr>
                <w:ilvl w:val="0"/>
                <w:numId w:val="0"/>
              </w:numPr>
              <w:kinsoku/>
              <w:wordWrap/>
              <w:overflowPunct/>
              <w:topLinePunct w:val="0"/>
              <w:autoSpaceDE/>
              <w:autoSpaceDN/>
              <w:bidi w:val="0"/>
              <w:adjustRightInd/>
              <w:snapToGrid/>
              <w:spacing w:line="360" w:lineRule="exact"/>
              <w:ind w:left="0" w:leftChars="0" w:firstLine="0" w:firstLineChars="0"/>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rPr>
              <w:t>大差市行政楼无线网络改造，包括AC、AP设备的增补，带宽分配策略的优化等，使行政办公楼无限网络终端网速达到有线网络终端网速的75%以上</w:t>
            </w:r>
          </w:p>
        </w:tc>
        <w:tc>
          <w:tcPr>
            <w:tcW w:w="863" w:type="pct"/>
          </w:tcPr>
          <w:p>
            <w:pPr>
              <w:spacing w:line="360" w:lineRule="auto"/>
              <w:jc w:val="both"/>
              <w:rPr>
                <w:rFonts w:hint="eastAsia" w:ascii="宋体" w:hAnsi="宋体" w:eastAsia="宋体" w:cs="宋体"/>
                <w:b w:val="0"/>
                <w:bCs w:val="0"/>
                <w:sz w:val="28"/>
                <w:szCs w:val="28"/>
                <w:vertAlign w:val="baseline"/>
                <w:lang w:val="en-US" w:eastAsia="zh-CN"/>
              </w:rPr>
            </w:pPr>
          </w:p>
        </w:tc>
        <w:tc>
          <w:tcPr>
            <w:tcW w:w="512" w:type="pct"/>
          </w:tcPr>
          <w:p>
            <w:pPr>
              <w:spacing w:line="360" w:lineRule="auto"/>
              <w:jc w:val="both"/>
              <w:rPr>
                <w:rFonts w:hint="eastAsia" w:ascii="宋体" w:hAnsi="宋体" w:eastAsia="宋体" w:cs="宋体"/>
                <w:b w:val="0"/>
                <w:bCs w:val="0"/>
                <w:sz w:val="28"/>
                <w:szCs w:val="28"/>
                <w:vertAlign w:val="baseline"/>
                <w:lang w:val="en-US" w:eastAsia="zh-CN"/>
              </w:rPr>
            </w:pPr>
          </w:p>
        </w:tc>
        <w:tc>
          <w:tcPr>
            <w:tcW w:w="852" w:type="pct"/>
          </w:tcPr>
          <w:p>
            <w:pPr>
              <w:spacing w:line="360" w:lineRule="auto"/>
              <w:jc w:val="both"/>
              <w:rPr>
                <w:rFonts w:hint="eastAsia" w:ascii="宋体" w:hAnsi="宋体" w:eastAsia="宋体" w:cs="宋体"/>
                <w:b w:val="0"/>
                <w:bCs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5"/>
          </w:tcPr>
          <w:p>
            <w:pPr>
              <w:spacing w:line="360" w:lineRule="auto"/>
              <w:jc w:val="both"/>
              <w:rPr>
                <w:rFonts w:hint="eastAsia" w:ascii="宋体" w:hAnsi="宋体" w:eastAsia="宋体" w:cs="宋体"/>
                <w:b w:val="0"/>
                <w:bCs w:val="0"/>
                <w:sz w:val="28"/>
                <w:szCs w:val="28"/>
                <w:vertAlign w:val="baseline"/>
                <w:lang w:val="en-US" w:eastAsia="zh-CN"/>
              </w:rPr>
            </w:pPr>
            <w:r>
              <w:rPr>
                <w:rFonts w:hint="eastAsia" w:ascii="仿宋" w:hAnsi="仿宋" w:eastAsia="仿宋" w:cs="仿宋"/>
                <w:color w:val="auto"/>
                <w:kern w:val="0"/>
                <w:sz w:val="28"/>
                <w:szCs w:val="28"/>
                <w:highlight w:val="none"/>
                <w:lang w:val="en-US" w:eastAsia="zh-CN"/>
              </w:rPr>
              <w:t>2、数据专线服务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3" w:type="pct"/>
          </w:tcPr>
          <w:p>
            <w:pPr>
              <w:spacing w:line="360" w:lineRule="auto"/>
              <w:jc w:val="both"/>
              <w:rPr>
                <w:rFonts w:hint="eastAsia" w:ascii="宋体" w:hAnsi="宋体" w:eastAsia="宋体" w:cs="宋体"/>
                <w:b w:val="0"/>
                <w:bCs w:val="0"/>
                <w:sz w:val="28"/>
                <w:szCs w:val="28"/>
                <w:vertAlign w:val="baseline"/>
                <w:lang w:val="en-US" w:eastAsia="zh-CN"/>
              </w:rPr>
            </w:pPr>
            <w:r>
              <w:rPr>
                <w:rFonts w:hint="eastAsia" w:ascii="仿宋" w:hAnsi="仿宋" w:eastAsia="仿宋" w:cs="仿宋"/>
                <w:color w:val="auto"/>
                <w:kern w:val="0"/>
                <w:sz w:val="28"/>
                <w:szCs w:val="28"/>
                <w:highlight w:val="none"/>
                <w:lang w:val="en-US" w:eastAsia="zh-CN"/>
              </w:rPr>
              <w:t>2.1</w:t>
            </w:r>
          </w:p>
        </w:tc>
        <w:tc>
          <w:tcPr>
            <w:tcW w:w="2397" w:type="pct"/>
            <w:vAlign w:val="center"/>
          </w:tcPr>
          <w:p>
            <w:pPr>
              <w:keepNext w:val="0"/>
              <w:keepLines w:val="0"/>
              <w:pageBreakBefore w:val="0"/>
              <w:kinsoku/>
              <w:wordWrap/>
              <w:overflowPunct/>
              <w:topLinePunct w:val="0"/>
              <w:autoSpaceDE/>
              <w:autoSpaceDN/>
              <w:bidi w:val="0"/>
              <w:adjustRightInd/>
              <w:snapToGrid/>
              <w:spacing w:line="360" w:lineRule="exact"/>
              <w:jc w:val="left"/>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rPr>
              <w:t>数据专线1，带宽≥8M，服务期自2027年1月1日至2027年12月31日，共12个月</w:t>
            </w:r>
          </w:p>
        </w:tc>
        <w:tc>
          <w:tcPr>
            <w:tcW w:w="863" w:type="pct"/>
          </w:tcPr>
          <w:p>
            <w:pPr>
              <w:spacing w:line="360" w:lineRule="auto"/>
              <w:jc w:val="both"/>
              <w:rPr>
                <w:rFonts w:hint="eastAsia" w:ascii="宋体" w:hAnsi="宋体" w:eastAsia="宋体" w:cs="宋体"/>
                <w:b w:val="0"/>
                <w:bCs w:val="0"/>
                <w:sz w:val="28"/>
                <w:szCs w:val="28"/>
                <w:vertAlign w:val="baseline"/>
                <w:lang w:val="en-US" w:eastAsia="zh-CN"/>
              </w:rPr>
            </w:pPr>
          </w:p>
        </w:tc>
        <w:tc>
          <w:tcPr>
            <w:tcW w:w="512" w:type="pct"/>
          </w:tcPr>
          <w:p>
            <w:pPr>
              <w:spacing w:line="360" w:lineRule="auto"/>
              <w:jc w:val="both"/>
              <w:rPr>
                <w:rFonts w:hint="eastAsia" w:ascii="宋体" w:hAnsi="宋体" w:eastAsia="宋体" w:cs="宋体"/>
                <w:b w:val="0"/>
                <w:bCs w:val="0"/>
                <w:sz w:val="28"/>
                <w:szCs w:val="28"/>
                <w:vertAlign w:val="baseline"/>
                <w:lang w:val="en-US" w:eastAsia="zh-CN"/>
              </w:rPr>
            </w:pPr>
          </w:p>
        </w:tc>
        <w:tc>
          <w:tcPr>
            <w:tcW w:w="852" w:type="pct"/>
          </w:tcPr>
          <w:p>
            <w:pPr>
              <w:spacing w:line="360" w:lineRule="auto"/>
              <w:jc w:val="both"/>
              <w:rPr>
                <w:rFonts w:hint="eastAsia" w:ascii="宋体" w:hAnsi="宋体" w:eastAsia="宋体" w:cs="宋体"/>
                <w:b w:val="0"/>
                <w:bCs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3" w:type="pct"/>
          </w:tcPr>
          <w:p>
            <w:pPr>
              <w:spacing w:line="360" w:lineRule="auto"/>
              <w:jc w:val="both"/>
              <w:rPr>
                <w:rFonts w:hint="eastAsia" w:ascii="宋体" w:hAnsi="宋体" w:eastAsia="宋体" w:cs="宋体"/>
                <w:b w:val="0"/>
                <w:bCs w:val="0"/>
                <w:sz w:val="28"/>
                <w:szCs w:val="28"/>
                <w:vertAlign w:val="baseline"/>
                <w:lang w:val="en-US" w:eastAsia="zh-CN"/>
              </w:rPr>
            </w:pPr>
            <w:r>
              <w:rPr>
                <w:rFonts w:hint="eastAsia" w:ascii="仿宋" w:hAnsi="仿宋" w:eastAsia="仿宋" w:cs="仿宋"/>
                <w:color w:val="auto"/>
                <w:kern w:val="0"/>
                <w:sz w:val="28"/>
                <w:szCs w:val="28"/>
                <w:highlight w:val="none"/>
                <w:lang w:val="en-US" w:eastAsia="zh-CN"/>
              </w:rPr>
              <w:t>2.2</w:t>
            </w:r>
          </w:p>
        </w:tc>
        <w:tc>
          <w:tcPr>
            <w:tcW w:w="2397" w:type="pct"/>
            <w:vAlign w:val="center"/>
          </w:tcPr>
          <w:p>
            <w:pPr>
              <w:pStyle w:val="6"/>
              <w:keepNext w:val="0"/>
              <w:keepLines w:val="0"/>
              <w:pageBreakBefore w:val="0"/>
              <w:widowControl/>
              <w:numPr>
                <w:ilvl w:val="0"/>
                <w:numId w:val="0"/>
              </w:numPr>
              <w:kinsoku/>
              <w:wordWrap/>
              <w:overflowPunct/>
              <w:topLinePunct w:val="0"/>
              <w:autoSpaceDE/>
              <w:autoSpaceDN/>
              <w:bidi w:val="0"/>
              <w:adjustRightInd/>
              <w:snapToGrid/>
              <w:spacing w:line="360" w:lineRule="exact"/>
              <w:ind w:left="0" w:leftChars="0" w:firstLine="0" w:firstLineChars="0"/>
              <w:jc w:val="both"/>
              <w:textAlignment w:val="auto"/>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数据专线2，带宽≥4M，服务期自2027年8月1日至2027年12月31日，共5个月</w:t>
            </w:r>
          </w:p>
        </w:tc>
        <w:tc>
          <w:tcPr>
            <w:tcW w:w="863" w:type="pct"/>
          </w:tcPr>
          <w:p>
            <w:pPr>
              <w:spacing w:line="360" w:lineRule="auto"/>
              <w:jc w:val="both"/>
              <w:rPr>
                <w:rFonts w:hint="eastAsia" w:ascii="宋体" w:hAnsi="宋体" w:eastAsia="宋体" w:cs="宋体"/>
                <w:b w:val="0"/>
                <w:bCs w:val="0"/>
                <w:sz w:val="28"/>
                <w:szCs w:val="28"/>
                <w:vertAlign w:val="baseline"/>
                <w:lang w:val="en-US" w:eastAsia="zh-CN"/>
              </w:rPr>
            </w:pPr>
          </w:p>
        </w:tc>
        <w:tc>
          <w:tcPr>
            <w:tcW w:w="512" w:type="pct"/>
          </w:tcPr>
          <w:p>
            <w:pPr>
              <w:spacing w:line="360" w:lineRule="auto"/>
              <w:jc w:val="both"/>
              <w:rPr>
                <w:rFonts w:hint="eastAsia" w:ascii="宋体" w:hAnsi="宋体" w:eastAsia="宋体" w:cs="宋体"/>
                <w:b w:val="0"/>
                <w:bCs w:val="0"/>
                <w:sz w:val="28"/>
                <w:szCs w:val="28"/>
                <w:vertAlign w:val="baseline"/>
                <w:lang w:val="en-US" w:eastAsia="zh-CN"/>
              </w:rPr>
            </w:pPr>
          </w:p>
        </w:tc>
        <w:tc>
          <w:tcPr>
            <w:tcW w:w="852" w:type="pct"/>
          </w:tcPr>
          <w:p>
            <w:pPr>
              <w:spacing w:line="360" w:lineRule="auto"/>
              <w:jc w:val="both"/>
              <w:rPr>
                <w:rFonts w:hint="eastAsia" w:ascii="宋体" w:hAnsi="宋体" w:eastAsia="宋体" w:cs="宋体"/>
                <w:b w:val="0"/>
                <w:bCs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3" w:type="pct"/>
          </w:tcPr>
          <w:p>
            <w:pPr>
              <w:spacing w:line="360" w:lineRule="auto"/>
              <w:jc w:val="both"/>
              <w:rPr>
                <w:rFonts w:hint="eastAsia" w:ascii="宋体" w:hAnsi="宋体" w:eastAsia="宋体" w:cs="宋体"/>
                <w:b w:val="0"/>
                <w:bCs w:val="0"/>
                <w:sz w:val="28"/>
                <w:szCs w:val="28"/>
                <w:vertAlign w:val="baseline"/>
                <w:lang w:val="en-US" w:eastAsia="zh-CN"/>
              </w:rPr>
            </w:pPr>
            <w:r>
              <w:rPr>
                <w:rFonts w:hint="eastAsia" w:ascii="仿宋" w:hAnsi="仿宋" w:eastAsia="仿宋" w:cs="仿宋"/>
                <w:color w:val="auto"/>
                <w:kern w:val="0"/>
                <w:sz w:val="28"/>
                <w:szCs w:val="28"/>
                <w:highlight w:val="none"/>
                <w:lang w:val="en-US" w:eastAsia="zh-CN"/>
              </w:rPr>
              <w:t>2.3</w:t>
            </w:r>
          </w:p>
        </w:tc>
        <w:tc>
          <w:tcPr>
            <w:tcW w:w="2397" w:type="pct"/>
            <w:vAlign w:val="center"/>
          </w:tcPr>
          <w:p>
            <w:pPr>
              <w:pStyle w:val="6"/>
              <w:keepNext w:val="0"/>
              <w:keepLines w:val="0"/>
              <w:pageBreakBefore w:val="0"/>
              <w:widowControl/>
              <w:numPr>
                <w:ilvl w:val="0"/>
                <w:numId w:val="0"/>
              </w:numPr>
              <w:kinsoku/>
              <w:wordWrap/>
              <w:overflowPunct/>
              <w:topLinePunct w:val="0"/>
              <w:autoSpaceDE/>
              <w:autoSpaceDN/>
              <w:bidi w:val="0"/>
              <w:adjustRightInd/>
              <w:snapToGrid/>
              <w:spacing w:line="360" w:lineRule="exact"/>
              <w:ind w:left="0" w:leftChars="0" w:firstLine="0" w:firstLineChars="0"/>
              <w:jc w:val="both"/>
              <w:textAlignment w:val="auto"/>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数据专线3，带宽≥50M，服务期自2026年8月1日至2027年12月31日，共17个月</w:t>
            </w:r>
          </w:p>
        </w:tc>
        <w:tc>
          <w:tcPr>
            <w:tcW w:w="863" w:type="pct"/>
          </w:tcPr>
          <w:p>
            <w:pPr>
              <w:spacing w:line="360" w:lineRule="auto"/>
              <w:jc w:val="both"/>
              <w:rPr>
                <w:rFonts w:hint="eastAsia" w:ascii="宋体" w:hAnsi="宋体" w:eastAsia="宋体" w:cs="宋体"/>
                <w:b w:val="0"/>
                <w:bCs w:val="0"/>
                <w:sz w:val="28"/>
                <w:szCs w:val="28"/>
                <w:vertAlign w:val="baseline"/>
                <w:lang w:val="en-US" w:eastAsia="zh-CN"/>
              </w:rPr>
            </w:pPr>
          </w:p>
        </w:tc>
        <w:tc>
          <w:tcPr>
            <w:tcW w:w="512" w:type="pct"/>
          </w:tcPr>
          <w:p>
            <w:pPr>
              <w:spacing w:line="360" w:lineRule="auto"/>
              <w:jc w:val="both"/>
              <w:rPr>
                <w:rFonts w:hint="eastAsia" w:ascii="宋体" w:hAnsi="宋体" w:eastAsia="宋体" w:cs="宋体"/>
                <w:b w:val="0"/>
                <w:bCs w:val="0"/>
                <w:sz w:val="28"/>
                <w:szCs w:val="28"/>
                <w:vertAlign w:val="baseline"/>
                <w:lang w:val="en-US" w:eastAsia="zh-CN"/>
              </w:rPr>
            </w:pPr>
          </w:p>
        </w:tc>
        <w:tc>
          <w:tcPr>
            <w:tcW w:w="852" w:type="pct"/>
          </w:tcPr>
          <w:p>
            <w:pPr>
              <w:spacing w:line="360" w:lineRule="auto"/>
              <w:jc w:val="both"/>
              <w:rPr>
                <w:rFonts w:hint="eastAsia" w:ascii="宋体" w:hAnsi="宋体" w:eastAsia="宋体" w:cs="宋体"/>
                <w:b w:val="0"/>
                <w:bCs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5"/>
          </w:tcPr>
          <w:p>
            <w:pPr>
              <w:spacing w:line="360" w:lineRule="auto"/>
              <w:jc w:val="both"/>
              <w:rPr>
                <w:rFonts w:hint="eastAsia" w:ascii="宋体" w:hAnsi="宋体" w:eastAsia="宋体" w:cs="宋体"/>
                <w:b w:val="0"/>
                <w:bCs w:val="0"/>
                <w:sz w:val="28"/>
                <w:szCs w:val="28"/>
                <w:vertAlign w:val="baseline"/>
                <w:lang w:val="en-US" w:eastAsia="zh-CN"/>
              </w:rPr>
            </w:pPr>
            <w:r>
              <w:rPr>
                <w:rFonts w:hint="eastAsia" w:ascii="仿宋" w:hAnsi="仿宋" w:eastAsia="仿宋" w:cs="仿宋"/>
                <w:color w:val="auto"/>
                <w:kern w:val="0"/>
                <w:sz w:val="28"/>
                <w:szCs w:val="28"/>
                <w:highlight w:val="none"/>
                <w:lang w:val="en-US" w:eastAsia="zh-CN"/>
              </w:rPr>
              <w:t>3、互联网专线服务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3" w:type="pct"/>
          </w:tcPr>
          <w:p>
            <w:pPr>
              <w:spacing w:line="360" w:lineRule="auto"/>
              <w:jc w:val="both"/>
              <w:rPr>
                <w:rFonts w:hint="eastAsia" w:ascii="宋体" w:hAnsi="宋体" w:eastAsia="宋体" w:cs="宋体"/>
                <w:b w:val="0"/>
                <w:bCs w:val="0"/>
                <w:sz w:val="28"/>
                <w:szCs w:val="28"/>
                <w:vertAlign w:val="baseline"/>
                <w:lang w:val="en-US" w:eastAsia="zh-CN"/>
              </w:rPr>
            </w:pPr>
            <w:r>
              <w:rPr>
                <w:rFonts w:hint="eastAsia" w:ascii="仿宋" w:hAnsi="仿宋" w:eastAsia="仿宋" w:cs="仿宋"/>
                <w:color w:val="auto"/>
                <w:kern w:val="0"/>
                <w:sz w:val="28"/>
                <w:szCs w:val="28"/>
                <w:highlight w:val="none"/>
                <w:lang w:val="en-US" w:eastAsia="zh-CN"/>
              </w:rPr>
              <w:t>3.1</w:t>
            </w:r>
          </w:p>
        </w:tc>
        <w:tc>
          <w:tcPr>
            <w:tcW w:w="2397" w:type="pct"/>
            <w:vAlign w:val="center"/>
          </w:tcPr>
          <w:p>
            <w:pPr>
              <w:pStyle w:val="6"/>
              <w:keepNext w:val="0"/>
              <w:keepLines w:val="0"/>
              <w:pageBreakBefore w:val="0"/>
              <w:widowControl/>
              <w:numPr>
                <w:ilvl w:val="0"/>
                <w:numId w:val="0"/>
              </w:numPr>
              <w:kinsoku/>
              <w:wordWrap/>
              <w:overflowPunct/>
              <w:topLinePunct w:val="0"/>
              <w:autoSpaceDE/>
              <w:autoSpaceDN/>
              <w:bidi w:val="0"/>
              <w:adjustRightInd/>
              <w:snapToGrid/>
              <w:spacing w:line="360" w:lineRule="exact"/>
              <w:ind w:left="0" w:leftChars="0" w:firstLine="0" w:firstLineChars="0"/>
              <w:jc w:val="both"/>
              <w:textAlignment w:val="auto"/>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互联网专线1，带宽≥400M，≥3个可用出口IP地址，服务期自2026年5月1日至2027年12月31日，共20个月</w:t>
            </w:r>
          </w:p>
        </w:tc>
        <w:tc>
          <w:tcPr>
            <w:tcW w:w="863" w:type="pct"/>
          </w:tcPr>
          <w:p>
            <w:pPr>
              <w:spacing w:line="360" w:lineRule="auto"/>
              <w:jc w:val="both"/>
              <w:rPr>
                <w:rFonts w:hint="eastAsia" w:ascii="宋体" w:hAnsi="宋体" w:eastAsia="宋体" w:cs="宋体"/>
                <w:b w:val="0"/>
                <w:bCs w:val="0"/>
                <w:sz w:val="28"/>
                <w:szCs w:val="28"/>
                <w:vertAlign w:val="baseline"/>
                <w:lang w:val="en-US" w:eastAsia="zh-CN"/>
              </w:rPr>
            </w:pPr>
          </w:p>
        </w:tc>
        <w:tc>
          <w:tcPr>
            <w:tcW w:w="512" w:type="pct"/>
          </w:tcPr>
          <w:p>
            <w:pPr>
              <w:spacing w:line="360" w:lineRule="auto"/>
              <w:jc w:val="both"/>
              <w:rPr>
                <w:rFonts w:hint="eastAsia" w:ascii="宋体" w:hAnsi="宋体" w:eastAsia="宋体" w:cs="宋体"/>
                <w:b w:val="0"/>
                <w:bCs w:val="0"/>
                <w:sz w:val="28"/>
                <w:szCs w:val="28"/>
                <w:vertAlign w:val="baseline"/>
                <w:lang w:val="en-US" w:eastAsia="zh-CN"/>
              </w:rPr>
            </w:pPr>
          </w:p>
        </w:tc>
        <w:tc>
          <w:tcPr>
            <w:tcW w:w="852" w:type="pct"/>
          </w:tcPr>
          <w:p>
            <w:pPr>
              <w:spacing w:line="360" w:lineRule="auto"/>
              <w:jc w:val="both"/>
              <w:rPr>
                <w:rFonts w:hint="eastAsia" w:ascii="宋体" w:hAnsi="宋体" w:eastAsia="宋体" w:cs="宋体"/>
                <w:b w:val="0"/>
                <w:bCs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3" w:type="pct"/>
          </w:tcPr>
          <w:p>
            <w:pPr>
              <w:spacing w:line="360" w:lineRule="auto"/>
              <w:jc w:val="both"/>
              <w:rPr>
                <w:rFonts w:hint="eastAsia" w:ascii="宋体" w:hAnsi="宋体" w:eastAsia="宋体" w:cs="宋体"/>
                <w:b w:val="0"/>
                <w:bCs w:val="0"/>
                <w:sz w:val="28"/>
                <w:szCs w:val="28"/>
                <w:vertAlign w:val="baseline"/>
                <w:lang w:val="en-US" w:eastAsia="zh-CN"/>
              </w:rPr>
            </w:pPr>
            <w:r>
              <w:rPr>
                <w:rFonts w:hint="eastAsia" w:ascii="仿宋" w:hAnsi="仿宋" w:eastAsia="仿宋" w:cs="仿宋"/>
                <w:color w:val="auto"/>
                <w:kern w:val="0"/>
                <w:sz w:val="28"/>
                <w:szCs w:val="28"/>
                <w:highlight w:val="none"/>
                <w:lang w:val="en-US" w:eastAsia="zh-CN"/>
              </w:rPr>
              <w:t>3.2</w:t>
            </w:r>
          </w:p>
        </w:tc>
        <w:tc>
          <w:tcPr>
            <w:tcW w:w="2397" w:type="pct"/>
            <w:vAlign w:val="center"/>
          </w:tcPr>
          <w:p>
            <w:pPr>
              <w:pStyle w:val="6"/>
              <w:keepNext w:val="0"/>
              <w:keepLines w:val="0"/>
              <w:pageBreakBefore w:val="0"/>
              <w:widowControl/>
              <w:numPr>
                <w:ilvl w:val="0"/>
                <w:numId w:val="0"/>
              </w:numPr>
              <w:kinsoku/>
              <w:wordWrap/>
              <w:overflowPunct/>
              <w:topLinePunct w:val="0"/>
              <w:autoSpaceDE/>
              <w:autoSpaceDN/>
              <w:bidi w:val="0"/>
              <w:adjustRightInd/>
              <w:snapToGrid/>
              <w:spacing w:line="360" w:lineRule="exact"/>
              <w:ind w:left="0" w:leftChars="0" w:firstLine="0" w:firstLineChars="0"/>
              <w:jc w:val="both"/>
              <w:textAlignment w:val="auto"/>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互联网专线2，带宽≥400M，服务期自2027年1月1日至2027年12月31日，共12个月</w:t>
            </w:r>
          </w:p>
        </w:tc>
        <w:tc>
          <w:tcPr>
            <w:tcW w:w="863" w:type="pct"/>
          </w:tcPr>
          <w:p>
            <w:pPr>
              <w:spacing w:line="360" w:lineRule="auto"/>
              <w:jc w:val="both"/>
              <w:rPr>
                <w:rFonts w:hint="eastAsia" w:ascii="宋体" w:hAnsi="宋体" w:eastAsia="宋体" w:cs="宋体"/>
                <w:b w:val="0"/>
                <w:bCs w:val="0"/>
                <w:sz w:val="28"/>
                <w:szCs w:val="28"/>
                <w:vertAlign w:val="baseline"/>
                <w:lang w:val="en-US" w:eastAsia="zh-CN"/>
              </w:rPr>
            </w:pPr>
          </w:p>
        </w:tc>
        <w:tc>
          <w:tcPr>
            <w:tcW w:w="512" w:type="pct"/>
          </w:tcPr>
          <w:p>
            <w:pPr>
              <w:spacing w:line="360" w:lineRule="auto"/>
              <w:jc w:val="both"/>
              <w:rPr>
                <w:rFonts w:hint="eastAsia" w:ascii="宋体" w:hAnsi="宋体" w:eastAsia="宋体" w:cs="宋体"/>
                <w:b w:val="0"/>
                <w:bCs w:val="0"/>
                <w:sz w:val="28"/>
                <w:szCs w:val="28"/>
                <w:vertAlign w:val="baseline"/>
                <w:lang w:val="en-US" w:eastAsia="zh-CN"/>
              </w:rPr>
            </w:pPr>
          </w:p>
        </w:tc>
        <w:tc>
          <w:tcPr>
            <w:tcW w:w="852" w:type="pct"/>
          </w:tcPr>
          <w:p>
            <w:pPr>
              <w:spacing w:line="360" w:lineRule="auto"/>
              <w:jc w:val="both"/>
              <w:rPr>
                <w:rFonts w:hint="eastAsia" w:ascii="宋体" w:hAnsi="宋体" w:eastAsia="宋体" w:cs="宋体"/>
                <w:b w:val="0"/>
                <w:bCs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5"/>
          </w:tcPr>
          <w:p>
            <w:pPr>
              <w:spacing w:line="360" w:lineRule="auto"/>
              <w:jc w:val="both"/>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以上内容为必填内容，不可删除更改。供应商可根据自身情况拓展本表。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34" w:type="pct"/>
            <w:gridSpan w:val="3"/>
          </w:tcPr>
          <w:p>
            <w:pPr>
              <w:spacing w:line="360" w:lineRule="auto"/>
              <w:jc w:val="center"/>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总计</w:t>
            </w:r>
          </w:p>
        </w:tc>
        <w:tc>
          <w:tcPr>
            <w:tcW w:w="1365" w:type="pct"/>
            <w:gridSpan w:val="2"/>
            <w:vAlign w:val="center"/>
          </w:tcPr>
          <w:p>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ind w:left="0" w:leftChars="0" w:firstLine="0" w:firstLineChars="0"/>
              <w:jc w:val="left"/>
              <w:textAlignment w:val="auto"/>
              <w:rPr>
                <w:rFonts w:hint="eastAsia" w:ascii="仿宋" w:hAnsi="仿宋" w:eastAsia="仿宋" w:cs="仿宋"/>
                <w:color w:val="auto"/>
                <w:kern w:val="0"/>
                <w:sz w:val="28"/>
                <w:szCs w:val="28"/>
                <w:highlight w:val="none"/>
                <w:lang w:val="en-US" w:eastAsia="zh-CN"/>
              </w:rPr>
            </w:pPr>
          </w:p>
        </w:tc>
      </w:tr>
    </w:tbl>
    <w:p>
      <w:pPr>
        <w:spacing w:line="360" w:lineRule="auto"/>
        <w:jc w:val="both"/>
        <w:rPr>
          <w:rFonts w:hint="eastAsia" w:ascii="宋体" w:hAnsi="宋体"/>
          <w:sz w:val="28"/>
          <w:szCs w:val="28"/>
        </w:rPr>
      </w:pPr>
      <w:r>
        <w:rPr>
          <w:rFonts w:hint="eastAsia" w:ascii="宋体" w:hAnsi="宋体"/>
          <w:sz w:val="28"/>
          <w:szCs w:val="28"/>
        </w:rPr>
        <w:t>供应商全称：</w:t>
      </w:r>
      <w:r>
        <w:rPr>
          <w:rFonts w:hint="eastAsia" w:ascii="宋体" w:hAnsi="宋体"/>
          <w:sz w:val="28"/>
          <w:szCs w:val="28"/>
          <w:u w:val="single"/>
        </w:rPr>
        <w:t xml:space="preserve">               </w:t>
      </w:r>
      <w:r>
        <w:rPr>
          <w:rFonts w:hint="eastAsia" w:ascii="宋体" w:hAnsi="宋体"/>
          <w:sz w:val="28"/>
          <w:szCs w:val="28"/>
        </w:rPr>
        <w:t>（盖章）</w:t>
      </w:r>
    </w:p>
    <w:p>
      <w:pPr>
        <w:spacing w:line="360" w:lineRule="auto"/>
        <w:rPr>
          <w:rFonts w:hint="eastAsia" w:ascii="宋体" w:hAnsi="宋体"/>
          <w:sz w:val="28"/>
          <w:szCs w:val="28"/>
        </w:rPr>
      </w:pPr>
      <w:r>
        <w:rPr>
          <w:rFonts w:hint="eastAsia" w:ascii="宋体" w:hAnsi="宋体"/>
          <w:bCs/>
          <w:sz w:val="28"/>
          <w:szCs w:val="28"/>
        </w:rPr>
        <w:t>法定代表人或被授权人</w:t>
      </w:r>
      <w:r>
        <w:rPr>
          <w:rFonts w:hint="eastAsia" w:ascii="宋体" w:hAnsi="宋体"/>
          <w:sz w:val="28"/>
          <w:szCs w:val="28"/>
        </w:rPr>
        <w:t>：</w:t>
      </w:r>
      <w:r>
        <w:rPr>
          <w:rFonts w:hint="eastAsia" w:ascii="宋体" w:hAnsi="宋体"/>
          <w:sz w:val="28"/>
          <w:szCs w:val="28"/>
          <w:u w:val="single"/>
        </w:rPr>
        <w:t xml:space="preserve">         </w:t>
      </w:r>
      <w:r>
        <w:rPr>
          <w:rFonts w:hint="eastAsia" w:ascii="宋体" w:hAnsi="宋体" w:cs="宋体"/>
          <w:bCs/>
          <w:sz w:val="28"/>
          <w:szCs w:val="28"/>
        </w:rPr>
        <w:t>（签字或盖章）</w:t>
      </w:r>
    </w:p>
    <w:p>
      <w:pPr>
        <w:jc w:val="right"/>
        <w:rPr>
          <w:rFonts w:hint="eastAsia"/>
          <w:b/>
          <w:bCs/>
          <w:sz w:val="28"/>
          <w:szCs w:val="28"/>
          <w:lang w:val="en-US" w:eastAsia="zh-CN"/>
        </w:rPr>
      </w:pPr>
      <w:r>
        <w:rPr>
          <w:rFonts w:hint="eastAsia" w:ascii="宋体" w:hAnsi="宋体"/>
          <w:sz w:val="28"/>
          <w:szCs w:val="28"/>
        </w:rPr>
        <w:t xml:space="preserve">              </w:t>
      </w:r>
      <w:r>
        <w:rPr>
          <w:rFonts w:hint="eastAsia" w:ascii="宋体" w:hAnsi="宋体"/>
          <w:sz w:val="28"/>
          <w:szCs w:val="28"/>
          <w:u w:val="single"/>
        </w:rPr>
        <w:t xml:space="preserve">     </w:t>
      </w:r>
      <w:r>
        <w:rPr>
          <w:rFonts w:hint="eastAsia" w:ascii="宋体" w:hAnsi="宋体"/>
          <w:sz w:val="28"/>
          <w:szCs w:val="28"/>
        </w:rPr>
        <w:t>年</w:t>
      </w:r>
      <w:r>
        <w:rPr>
          <w:rFonts w:hint="eastAsia" w:ascii="宋体" w:hAnsi="宋体"/>
          <w:sz w:val="28"/>
          <w:szCs w:val="28"/>
          <w:u w:val="single"/>
        </w:rPr>
        <w:t xml:space="preserve">     </w:t>
      </w:r>
      <w:r>
        <w:rPr>
          <w:rFonts w:hint="eastAsia" w:ascii="宋体" w:hAnsi="宋体"/>
          <w:sz w:val="28"/>
          <w:szCs w:val="28"/>
        </w:rPr>
        <w:t>月</w:t>
      </w:r>
      <w:r>
        <w:rPr>
          <w:rFonts w:hint="eastAsia" w:ascii="宋体" w:hAnsi="宋体"/>
          <w:sz w:val="28"/>
          <w:szCs w:val="28"/>
          <w:u w:val="single"/>
        </w:rPr>
        <w:t xml:space="preserve">     </w:t>
      </w:r>
      <w:r>
        <w:rPr>
          <w:rFonts w:hint="eastAsia" w:ascii="宋体" w:hAnsi="宋体"/>
          <w:sz w:val="28"/>
          <w:szCs w:val="28"/>
          <w:u w:val="none"/>
          <w:lang w:val="en-US" w:eastAsia="zh-CN"/>
        </w:rPr>
        <w:t>日</w:t>
      </w:r>
    </w:p>
    <w:p>
      <w:pPr>
        <w:jc w:val="left"/>
        <w:rPr>
          <w:rFonts w:hint="eastAsia"/>
          <w:b/>
          <w:bCs/>
          <w:sz w:val="28"/>
          <w:szCs w:val="28"/>
          <w:lang w:val="en-US" w:eastAsia="zh-CN"/>
        </w:rPr>
      </w:pPr>
      <w:r>
        <w:rPr>
          <w:rFonts w:hint="eastAsia"/>
          <w:b/>
          <w:bCs/>
          <w:sz w:val="28"/>
          <w:szCs w:val="28"/>
          <w:lang w:val="en-US" w:eastAsia="zh-CN"/>
        </w:rPr>
        <w:t>注：1、本表报价总和应与标的清单和投标报价表内报价一致且不得高于采购预算。</w:t>
      </w:r>
    </w:p>
    <w:p>
      <w:pPr>
        <w:numPr>
          <w:ilvl w:val="0"/>
          <w:numId w:val="0"/>
        </w:numPr>
        <w:ind w:firstLine="562" w:firstLineChars="200"/>
        <w:jc w:val="left"/>
        <w:rPr>
          <w:rFonts w:hint="eastAsia"/>
          <w:b/>
          <w:bCs/>
          <w:sz w:val="28"/>
          <w:szCs w:val="28"/>
          <w:lang w:val="en-US" w:eastAsia="zh-CN"/>
        </w:rPr>
      </w:pPr>
      <w:r>
        <w:rPr>
          <w:rFonts w:hint="eastAsia" w:asciiTheme="minorHAnsi" w:hAnsiTheme="minorHAnsi" w:eastAsiaTheme="minorEastAsia" w:cstheme="minorBidi"/>
          <w:b/>
          <w:bCs/>
          <w:kern w:val="2"/>
          <w:sz w:val="28"/>
          <w:szCs w:val="28"/>
          <w:lang w:val="en-US" w:eastAsia="zh-CN" w:bidi="ar-SA"/>
        </w:rPr>
        <w:t>2、</w:t>
      </w:r>
      <w:r>
        <w:rPr>
          <w:rFonts w:hint="eastAsia"/>
          <w:b/>
          <w:bCs/>
          <w:sz w:val="28"/>
          <w:szCs w:val="28"/>
          <w:lang w:val="en-US" w:eastAsia="zh-CN"/>
        </w:rPr>
        <w:t>报价保留小数点后2位。</w:t>
      </w:r>
    </w:p>
    <w:p>
      <w:pPr>
        <w:numPr>
          <w:ilvl w:val="0"/>
          <w:numId w:val="0"/>
        </w:numPr>
        <w:ind w:firstLine="562" w:firstLineChars="200"/>
        <w:jc w:val="left"/>
        <w:rPr>
          <w:rFonts w:hint="default"/>
          <w:b/>
          <w:bCs/>
          <w:sz w:val="28"/>
          <w:szCs w:val="28"/>
          <w:lang w:val="en-US" w:eastAsia="zh-CN"/>
        </w:rPr>
      </w:pPr>
      <w:r>
        <w:rPr>
          <w:rFonts w:hint="default" w:asciiTheme="minorHAnsi" w:hAnsiTheme="minorHAnsi" w:eastAsiaTheme="minorEastAsia" w:cstheme="minorBidi"/>
          <w:b/>
          <w:bCs/>
          <w:kern w:val="2"/>
          <w:sz w:val="28"/>
          <w:szCs w:val="28"/>
          <w:lang w:val="en-US" w:eastAsia="zh-CN" w:bidi="ar-SA"/>
        </w:rPr>
        <w:t>3、</w:t>
      </w:r>
      <w:r>
        <w:rPr>
          <w:rFonts w:hint="default"/>
          <w:b/>
          <w:bCs/>
          <w:sz w:val="28"/>
          <w:szCs w:val="28"/>
          <w:lang w:val="en-US" w:eastAsia="zh-CN"/>
        </w:rPr>
        <w:t>以上费用已包括:服务费、安装、施工、线路改造、税费及运费等其它投标供应商履行合同义务所需的全部费用。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jNTMwMzg5NTAzMWEzMzkzYTFhYjVhZWFlNGM2NzQifQ=="/>
  </w:docVars>
  <w:rsids>
    <w:rsidRoot w:val="00000000"/>
    <w:rsid w:val="02B04EBD"/>
    <w:rsid w:val="067F37D2"/>
    <w:rsid w:val="17232884"/>
    <w:rsid w:val="1D3249F5"/>
    <w:rsid w:val="29A40199"/>
    <w:rsid w:val="36366E99"/>
    <w:rsid w:val="37F25A39"/>
    <w:rsid w:val="40CC67EA"/>
    <w:rsid w:val="51EC6D36"/>
    <w:rsid w:val="607F4F51"/>
    <w:rsid w:val="660B6E13"/>
    <w:rsid w:val="68210EBB"/>
    <w:rsid w:val="73AA2E76"/>
    <w:rsid w:val="77234F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498</Words>
  <Characters>543</Characters>
  <Lines>0</Lines>
  <Paragraphs>0</Paragraphs>
  <TotalTime>4</TotalTime>
  <ScaleCrop>false</ScaleCrop>
  <LinksUpToDate>false</LinksUpToDate>
  <CharactersWithSpaces>604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2024-11-28T02:28:00Z</dcterms:created>
  <dc:creator>Administrator</dc:creator>
  <cp:lastModifiedBy>Two   *〖man〗</cp:lastModifiedBy>
  <dcterms:modified xsi:type="dcterms:W3CDTF">2025-12-16T07:39:30Z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184989FAE2ED4C58A92F88141F9C51EF_13</vt:lpwstr>
  </property>
</Properties>
</file>