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版本号：SXZCZB2025-ZCDY-121520251208001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购买军休服务管理机构用房项目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SXZCZB2025-ZCDY-1215</w:t>
      </w:r>
      <w:r>
        <w:br/>
      </w:r>
      <w:r>
        <w:br/>
      </w:r>
      <w:r>
        <w:br/>
      </w:r>
      <w:r>
        <w:br/>
      </w:r>
      <w:r>
        <w:br/>
      </w:r>
    </w:p>
    <w:p>
      <w:pPr>
        <w:pStyle w:val="null3"/>
        <w:jc w:val="center"/>
        <w:outlineLvl w:val="5"/>
      </w:pPr>
      <w:r>
        <w:rPr>
          <w:rFonts w:ascii="仿宋_GB2312" w:hAnsi="仿宋_GB2312" w:cs="仿宋_GB2312" w:eastAsia="仿宋_GB2312"/>
          <w:sz w:val="15"/>
          <w:b/>
        </w:rPr>
        <w:t>西安市二府庄军队离休退休干部休养所</w:t>
      </w:r>
    </w:p>
    <w:p>
      <w:pPr>
        <w:pStyle w:val="null3"/>
        <w:jc w:val="center"/>
        <w:outlineLvl w:val="5"/>
      </w:pPr>
      <w:r>
        <w:rPr>
          <w:rFonts w:ascii="仿宋_GB2312" w:hAnsi="仿宋_GB2312" w:cs="仿宋_GB2312" w:eastAsia="仿宋_GB2312"/>
          <w:sz w:val="15"/>
          <w:b/>
        </w:rPr>
        <w:t>陕西至诚项目管理集团有限公司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西安市二府庄军队离休退休干部休养所</w:t>
      </w:r>
      <w:r>
        <w:rPr>
          <w:rFonts w:ascii="仿宋_GB2312" w:hAnsi="仿宋_GB2312" w:cs="仿宋_GB2312" w:eastAsia="仿宋_GB2312"/>
        </w:rPr>
        <w:t>委托，拟对</w:t>
      </w:r>
      <w:r>
        <w:rPr>
          <w:rFonts w:ascii="仿宋_GB2312" w:hAnsi="仿宋_GB2312" w:cs="仿宋_GB2312" w:eastAsia="仿宋_GB2312"/>
        </w:rPr>
        <w:t>购买军休服务管理机构用房项目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SXZCZB2025-ZCDY-1215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购买军休服务管理机构用房项目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西安市军休干部服务管理用房难以满足活动需求，现需购买军休服务管理机构用房，并将具体事宜交由西安市二府庄军队离休退休干部休养所负责办理。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2、法人身份证明及法定代表人授权书：提供法定代表人授权书（附法定代表人、被授权人身份证复印件）及被授权人身份证复印件（法定代表人直接参加谈判，须提供法定代表人身份证明）；</w:t>
      </w:r>
    </w:p>
    <w:p>
      <w:pPr>
        <w:pStyle w:val="null3"/>
      </w:pPr>
      <w:r>
        <w:rPr>
          <w:rFonts w:ascii="仿宋_GB2312" w:hAnsi="仿宋_GB2312" w:cs="仿宋_GB2312" w:eastAsia="仿宋_GB2312"/>
        </w:rPr>
        <w:t>3、财务状况：提供2024年度经审计的财务审计报告（成立时间至提交谈判响应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4、税收缴纳证明：提供谈判响应文件递交截止时间前一年内至少一个月的纳税证明或完税证明；</w:t>
      </w:r>
    </w:p>
    <w:p>
      <w:pPr>
        <w:pStyle w:val="null3"/>
      </w:pPr>
      <w:r>
        <w:rPr>
          <w:rFonts w:ascii="仿宋_GB2312" w:hAnsi="仿宋_GB2312" w:cs="仿宋_GB2312" w:eastAsia="仿宋_GB2312"/>
        </w:rPr>
        <w:t>5、社会保障资金缴纳证明：提供谈判响应文件递交截止日前近一年内任意一个月的社会保障资金缴存单据或社保机构开具的社会保险参保情况证明；</w:t>
      </w:r>
    </w:p>
    <w:p>
      <w:pPr>
        <w:pStyle w:val="null3"/>
      </w:pPr>
      <w:r>
        <w:rPr>
          <w:rFonts w:ascii="仿宋_GB2312" w:hAnsi="仿宋_GB2312" w:cs="仿宋_GB2312" w:eastAsia="仿宋_GB2312"/>
        </w:rPr>
        <w:t>6、信用查询记录：供应商通过“信用中国”网站(www.creditchina.gov.cn)、中国政府采购网(www.ccgp.gov.cn)等查询相关主体信用记录；</w:t>
      </w:r>
    </w:p>
    <w:p>
      <w:pPr>
        <w:pStyle w:val="null3"/>
      </w:pPr>
      <w:r>
        <w:rPr>
          <w:rFonts w:ascii="仿宋_GB2312" w:hAnsi="仿宋_GB2312" w:cs="仿宋_GB2312" w:eastAsia="仿宋_GB2312"/>
        </w:rPr>
        <w:t>7、履行本合同所必需的设备和专业技术能力的说明及承诺书：提供履行本合同所必需的设备和专业技术能力的说明及承诺书；</w:t>
      </w:r>
    </w:p>
    <w:p>
      <w:pPr>
        <w:pStyle w:val="null3"/>
      </w:pPr>
      <w:r>
        <w:rPr>
          <w:rFonts w:ascii="仿宋_GB2312" w:hAnsi="仿宋_GB2312" w:cs="仿宋_GB2312" w:eastAsia="仿宋_GB2312"/>
        </w:rPr>
        <w:t>8、没有重大违法记录的书面声明：参加政府采购活动前3年内，在经营活动中没有重大违法记录的书面声明；</w:t>
      </w:r>
    </w:p>
    <w:p>
      <w:pPr>
        <w:pStyle w:val="null3"/>
      </w:pPr>
      <w:r>
        <w:rPr>
          <w:rFonts w:ascii="仿宋_GB2312" w:hAnsi="仿宋_GB2312" w:cs="仿宋_GB2312" w:eastAsia="仿宋_GB2312"/>
        </w:rPr>
        <w:t>9、非联合体谈判：本项目不接受联合体谈判，提供承诺书。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西安市二府庄军队离休退休干部休养所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未央区二府庄路13号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西安市二府庄军队离休退休干部休养所经办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029-86255727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采购包1：8,481,200.00元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采购包1：8,481,200.00元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房价金额为基数，按国家计委颁发的《招标代理服务收费管理暂行办法》（计价格[2002]1980号）和国家发展改革委员会办公厅颁发的《关于招标代理服务收费有关问题的通知》（发改办价格[2003]857号）的有关规定下浮30%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西安市二府庄军队离休退休干部休养所</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西安市二府庄军队离休退休干部休养所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西安市军休干部服务管理用房难以满足活动需求，现需购买军休服务管理机构用房，并将具体事宜交由西安市二府庄军队离休退休干部休养所负责办理。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8,481,200.00</w:t>
      </w:r>
    </w:p>
    <w:p>
      <w:pPr>
        <w:pStyle w:val="null3"/>
      </w:pPr>
      <w:r>
        <w:rPr>
          <w:rFonts w:ascii="仿宋_GB2312" w:hAnsi="仿宋_GB2312" w:cs="仿宋_GB2312" w:eastAsia="仿宋_GB2312"/>
        </w:rPr>
        <w:t>采购包最高限价（元）: 8,481,200.00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购买服务机构管理用房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8,481,200.00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房地产开发经营</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标的名称：购买服务机构管理用房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西安市二府庄军队离休退休干部休养所购买中建商务广场项目</w:t>
            </w:r>
            <w:r>
              <w:rPr>
                <w:rFonts w:ascii="仿宋_GB2312" w:hAnsi="仿宋_GB2312" w:cs="仿宋_GB2312" w:eastAsia="仿宋_GB2312"/>
                <w:sz w:val="32"/>
              </w:rPr>
              <w:t>5#楼4层5-10401、5-10405、5-10406采购内容：</w:t>
            </w:r>
          </w:p>
          <w:p>
            <w:pPr>
              <w:pStyle w:val="null3"/>
              <w:ind w:firstLine="640"/>
              <w:jc w:val="both"/>
            </w:pPr>
            <w:r>
              <w:rPr>
                <w:rFonts w:ascii="仿宋_GB2312" w:hAnsi="仿宋_GB2312" w:cs="仿宋_GB2312" w:eastAsia="仿宋_GB2312"/>
                <w:sz w:val="32"/>
              </w:rPr>
              <w:t>中建商务广场项目为中建方程在西安又一力作，由建筑行业实力创造者中建方程，中建新疆建工、中建七局共同投资开发，打造精品住宅、全能公寓、甲级写字楼、品牌商业于一体的</w:t>
            </w:r>
            <w:r>
              <w:rPr>
                <w:rFonts w:ascii="仿宋_GB2312" w:hAnsi="仿宋_GB2312" w:cs="仿宋_GB2312" w:eastAsia="仿宋_GB2312"/>
                <w:sz w:val="32"/>
              </w:rPr>
              <w:t>CBD综合体，形成北城商务新中心，激活高铁新城经济活力，为高铁新城的未来发展助力。</w:t>
            </w:r>
          </w:p>
          <w:p>
            <w:pPr>
              <w:pStyle w:val="null3"/>
              <w:ind w:firstLine="640"/>
              <w:jc w:val="both"/>
            </w:pPr>
            <w:r>
              <w:rPr>
                <w:rFonts w:ascii="仿宋_GB2312" w:hAnsi="仿宋_GB2312" w:cs="仿宋_GB2312" w:eastAsia="仿宋_GB2312"/>
                <w:sz w:val="32"/>
              </w:rPr>
              <w:t>本项目总占地面积约</w:t>
            </w:r>
            <w:r>
              <w:rPr>
                <w:rFonts w:ascii="仿宋_GB2312" w:hAnsi="仿宋_GB2312" w:cs="仿宋_GB2312" w:eastAsia="仿宋_GB2312"/>
                <w:sz w:val="32"/>
              </w:rPr>
              <w:t>96亩，分住宅和商办两部分开发，总建面30.3万㎡。其中东地块住宅约48亩开发3栋楼，2021年9月底全面交付入住。西地块商办约48亩，开发2栋公寓、2栋写字楼和一个微型商业综合体规划。项目集央企总部基地、星级酒店、商业街区于一体，填补区域配套空白，激活高铁经济，创造高铁红利新高点。</w:t>
            </w:r>
          </w:p>
          <w:p>
            <w:pPr>
              <w:pStyle w:val="null3"/>
              <w:ind w:firstLine="640"/>
              <w:jc w:val="both"/>
            </w:pPr>
            <w:r>
              <w:rPr>
                <w:rFonts w:ascii="仿宋_GB2312" w:hAnsi="仿宋_GB2312" w:cs="仿宋_GB2312" w:eastAsia="仿宋_GB2312"/>
                <w:sz w:val="32"/>
              </w:rPr>
              <w:t>中建商务广场项目</w:t>
            </w:r>
            <w:r>
              <w:rPr>
                <w:rFonts w:ascii="仿宋_GB2312" w:hAnsi="仿宋_GB2312" w:cs="仿宋_GB2312" w:eastAsia="仿宋_GB2312"/>
                <w:sz w:val="32"/>
              </w:rPr>
              <w:t>5#楼4层5-10401、5-10405、5-10406号房的相关购置信息明确如下：</w:t>
            </w:r>
          </w:p>
          <w:p>
            <w:pPr>
              <w:pStyle w:val="null3"/>
              <w:ind w:firstLine="640"/>
              <w:jc w:val="both"/>
            </w:pPr>
            <w:r>
              <w:rPr>
                <w:rFonts w:ascii="仿宋_GB2312" w:hAnsi="仿宋_GB2312" w:cs="仿宋_GB2312" w:eastAsia="仿宋_GB2312"/>
                <w:sz w:val="32"/>
              </w:rPr>
              <w:t>1.购置资产面积：</w:t>
            </w:r>
            <w:r>
              <w:rPr>
                <w:rFonts w:ascii="仿宋_GB2312" w:hAnsi="仿宋_GB2312" w:cs="仿宋_GB2312" w:eastAsia="仿宋_GB2312"/>
                <w:sz w:val="32"/>
              </w:rPr>
              <w:t>5-10401 号房产权面积355.89㎡，5-10405号房产权面积289.78㎡，5-10406号房产权面积170.16㎡，三套合计总面积815.83㎡。</w:t>
            </w:r>
          </w:p>
          <w:p>
            <w:pPr>
              <w:pStyle w:val="null3"/>
              <w:ind w:firstLine="640"/>
              <w:jc w:val="both"/>
            </w:pPr>
            <w:r>
              <w:rPr>
                <w:rFonts w:ascii="仿宋_GB2312" w:hAnsi="仿宋_GB2312" w:cs="仿宋_GB2312" w:eastAsia="仿宋_GB2312"/>
                <w:sz w:val="32"/>
              </w:rPr>
              <w:t>2.房屋其他费用：契税按房屋合同总价</w:t>
            </w:r>
            <w:r>
              <w:rPr>
                <w:rFonts w:ascii="仿宋_GB2312" w:hAnsi="仿宋_GB2312" w:cs="仿宋_GB2312" w:eastAsia="仿宋_GB2312"/>
                <w:sz w:val="32"/>
              </w:rPr>
              <w:t>*3%收取；大修基金按房屋产权面积*145元/㎡；房产证工本费1650元。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中建商务广场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交房验收合格后一次性付清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符合国家及行业标准相关要求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执行。1．若供应商违约不履行合同，采购人会同西安市财政局、采购代理机构有权终止合同并对供应商的违约行为进行追究，同时按政府采购供应商管理办法进行相应的处罚。 2．供应商不能在进行服务的，采购人有权解除全部或部分合同。供应商应向采购人支付合同被解除部分总价款10%的违约金。 3．供应商所交产品的质量不符合合同要求的，采购人有权要求供应商在合理时间内更换、退货，供应商应按采购人的要求及时更换、退货，到货期及安装期等合同期限不予变更。因此造成货期延误的按照本合同第十一条执行。因供应商服务和货物质量问题造成采购人其它损失的，供应商应负责赔偿。 4．供应商不履行合同义务或不按合同约定履行义务的其它情况，根据合同约定约定执行； 5．采购人如未按照本合同约定履行义务应赔偿供应商相应损失。 6．在合同履行期间，由于供应商责任所产生的一切损失由供应商赔偿采购人及第三关联人。 7、在合同期限内，供应商不得擅自转包、分包本合同项下的合同义务，否则采购人有权单方解除本合同并有权要求供应商按照本条第1款的规定承担根本违约责任。 本合同在履行过程中发生的争议，由双方当事人协商解决，协商不成的任意一方可向采购人所在地有管辖权的人民法院提起诉讼。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法人身份证明及法定代表人授权书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法定代表人身份证明及法定代表人授权书.docx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提供2024年度经审计的财务审计报告（成立时间至提交谈判响应文件截止时间不足一年的可提供成立后任意时段的资产负债表），或其基本存款账户开户银行出具的资信证明及基本存款账户开户许可证；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提供谈判响应文件递交截止时间前一年内至少一个月的纳税证明或完税证明；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提供谈判响应文件递交截止日前近一年内任意一个月的社会保障资金缴存单据或社保机构开具的社会保险参保情况证明；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提供履行本合同所必需的设备和专业技术能力的说明及承诺书；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 具有履行本合同所必需的设备和专业技术能力的书面声明.docx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参加政府采购活动前3年内在经营活动中没有重大违法纪录的书面声明.docx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非联合体谈判</w:t>
            </w:r>
          </w:p>
        </w:tc>
        <w:tc>
          <w:tcPr>
            <w:tcW w:type="dxa" w:w="3322"/>
          </w:tcPr>
          <w:p>
            <w:pPr>
              <w:pStyle w:val="null3"/>
            </w:pPr>
            <w:r>
              <w:rPr>
                <w:rFonts w:ascii="仿宋_GB2312" w:hAnsi="仿宋_GB2312" w:cs="仿宋_GB2312" w:eastAsia="仿宋_GB2312"/>
              </w:rPr>
              <w:t>本项目不接受联合体谈判，提供承诺书。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法定代表人身份证明及法定代表人授权书.docx 供应商应提交的相关资格证明材料 报价表 分项报价.docx 具有履行本合同所必需的设备和专业技术能力的书面声明.docx 响应文件封面 技术、服务、商务及其他要求偏离表.docx 残疾人福利性单位声明函 参加政府采购活动前3年内在经营活动中没有重大违法纪录的书面声明.docx 标的清单 项目实施方案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 分项报价.docx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法定代表人身份证明及法定代表人授权书.docx 供应商应提交的相关资格证明材料 报价表 分项报价.docx 具有履行本合同所必需的设备和专业技术能力的书面声明.docx 响应文件封面 技术、服务、商务及其他要求偏离表.docx 残疾人福利性单位声明函 参加政府采购活动前3年内在经营活动中没有重大违法纪录的书面声明.docx 标的清单 项目实施方案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中小企业声明函 法定代表人身份证明及法定代表人授权书.docx 供应商应提交的相关资格证明材料 报价表 分项报价.docx 具有履行本合同所必需的设备和专业技术能力的书面声明.docx 响应文件封面 技术、服务、商务及其他要求偏离表.docx 残疾人福利性单位声明函 参加政府采购活动前3年内在经营活动中没有重大违法纪录的书面声明.docx 标的清单 项目实施方案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详见附件：参加政府采购活动前3年内在经营活动中没有重大违法纪录的书面声明.docx</w:t>
      </w:r>
    </w:p>
    <w:p>
      <w:pPr>
        <w:pStyle w:val="null3"/>
        <w:ind w:firstLine="960"/>
      </w:pPr>
      <w:r>
        <w:rPr>
          <w:rFonts w:ascii="仿宋_GB2312" w:hAnsi="仿宋_GB2312" w:cs="仿宋_GB2312" w:eastAsia="仿宋_GB2312"/>
        </w:rPr>
        <w:t>详见附件：法定代表人身份证明及法定代表人授权书.docx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详见附件：具有履行本合同所必需的设备和专业技术能力的书面声明.docx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详见附件：技术、服务、商务及其他要求偏离表.docx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详见附件：政府采购房屋买卖协议书.docx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