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D9DCC">
      <w:pPr>
        <w:pStyle w:val="4"/>
        <w:spacing w:before="36" w:line="379" w:lineRule="auto"/>
        <w:ind w:right="109" w:firstLine="562" w:firstLineChars="100"/>
        <w:rPr>
          <w:rFonts w:hint="eastAsia" w:ascii="仿宋" w:hAnsi="仿宋" w:eastAsia="仿宋" w:cs="仿宋"/>
          <w:b/>
          <w:bCs/>
          <w:sz w:val="56"/>
          <w:szCs w:val="56"/>
          <w:lang w:eastAsia="zh-CN"/>
        </w:rPr>
      </w:pPr>
    </w:p>
    <w:p w14:paraId="663D26F3">
      <w:pPr>
        <w:pStyle w:val="4"/>
        <w:spacing w:before="36" w:line="379" w:lineRule="auto"/>
        <w:ind w:right="109" w:firstLine="562" w:firstLineChars="100"/>
        <w:rPr>
          <w:rFonts w:hint="eastAsia" w:ascii="仿宋" w:hAnsi="仿宋" w:eastAsia="仿宋" w:cs="仿宋"/>
          <w:b/>
          <w:bCs/>
          <w:sz w:val="56"/>
          <w:szCs w:val="56"/>
          <w:lang w:eastAsia="zh-CN"/>
        </w:rPr>
      </w:pPr>
      <w:r>
        <w:rPr>
          <w:rFonts w:hint="eastAsia" w:ascii="仿宋" w:hAnsi="仿宋" w:eastAsia="仿宋" w:cs="仿宋"/>
          <w:b/>
          <w:bCs/>
          <w:sz w:val="56"/>
          <w:szCs w:val="56"/>
          <w:lang w:eastAsia="zh-CN"/>
        </w:rPr>
        <w:t>X X X X X X（项目名称）</w:t>
      </w:r>
    </w:p>
    <w:p w14:paraId="08D99B38">
      <w:pPr>
        <w:spacing w:line="360" w:lineRule="auto"/>
        <w:jc w:val="center"/>
        <w:rPr>
          <w:rFonts w:hint="eastAsia" w:ascii="仿宋" w:hAnsi="仿宋" w:eastAsia="仿宋" w:cs="仿宋"/>
          <w:b/>
          <w:bCs/>
          <w:sz w:val="56"/>
          <w:szCs w:val="56"/>
          <w:lang w:eastAsia="zh-CN"/>
        </w:rPr>
      </w:pPr>
      <w:r>
        <w:rPr>
          <w:rFonts w:hint="eastAsia" w:ascii="仿宋" w:hAnsi="仿宋" w:eastAsia="仿宋" w:cs="仿宋"/>
          <w:b/>
          <w:bCs/>
          <w:sz w:val="56"/>
          <w:szCs w:val="56"/>
          <w:lang w:eastAsia="zh-CN"/>
        </w:rPr>
        <w:t>供 货 合 同</w:t>
      </w:r>
    </w:p>
    <w:p w14:paraId="055F883C">
      <w:pPr>
        <w:spacing w:line="360" w:lineRule="auto"/>
        <w:jc w:val="center"/>
        <w:rPr>
          <w:rFonts w:hint="eastAsia" w:ascii="仿宋" w:hAnsi="仿宋" w:eastAsia="仿宋" w:cs="仿宋"/>
          <w:b/>
          <w:bCs/>
          <w:sz w:val="56"/>
          <w:szCs w:val="56"/>
          <w:lang w:eastAsia="zh-CN"/>
        </w:rPr>
      </w:pPr>
      <w:r>
        <w:rPr>
          <w:rFonts w:hint="eastAsia" w:ascii="仿宋" w:hAnsi="仿宋" w:eastAsia="仿宋" w:cs="仿宋"/>
          <w:b/>
          <w:bCs/>
          <w:sz w:val="56"/>
          <w:szCs w:val="56"/>
          <w:lang w:eastAsia="zh-CN"/>
        </w:rPr>
        <w:t>（编号：XCZX20</w:t>
      </w:r>
      <w:r>
        <w:rPr>
          <w:rFonts w:hint="eastAsia" w:ascii="仿宋" w:hAnsi="仿宋" w:eastAsia="仿宋" w:cs="仿宋"/>
          <w:b/>
          <w:bCs/>
          <w:sz w:val="56"/>
          <w:szCs w:val="56"/>
          <w:lang w:val="en-US" w:eastAsia="zh-CN"/>
        </w:rPr>
        <w:t>2</w:t>
      </w:r>
      <w:r>
        <w:rPr>
          <w:rFonts w:hint="eastAsia" w:ascii="仿宋" w:hAnsi="仿宋" w:eastAsia="仿宋" w:cs="仿宋"/>
          <w:b/>
          <w:bCs/>
          <w:sz w:val="56"/>
          <w:szCs w:val="56"/>
          <w:lang w:eastAsia="zh-CN"/>
        </w:rPr>
        <w:t>X-XXXX）</w:t>
      </w:r>
    </w:p>
    <w:p w14:paraId="7F8CC87E">
      <w:pPr>
        <w:jc w:val="center"/>
        <w:rPr>
          <w:rFonts w:hint="eastAsia" w:ascii="仿宋" w:hAnsi="仿宋" w:eastAsia="仿宋" w:cs="仿宋"/>
          <w:sz w:val="24"/>
          <w:szCs w:val="24"/>
          <w:lang w:eastAsia="zh-CN"/>
        </w:rPr>
      </w:pPr>
    </w:p>
    <w:p w14:paraId="0532493C">
      <w:pPr>
        <w:jc w:val="center"/>
        <w:rPr>
          <w:rFonts w:hint="eastAsia" w:ascii="仿宋" w:hAnsi="仿宋" w:eastAsia="仿宋" w:cs="仿宋"/>
          <w:sz w:val="24"/>
          <w:szCs w:val="24"/>
          <w:lang w:eastAsia="zh-CN"/>
        </w:rPr>
      </w:pPr>
    </w:p>
    <w:p w14:paraId="1EB12CE8">
      <w:pPr>
        <w:jc w:val="center"/>
        <w:rPr>
          <w:rFonts w:hint="eastAsia" w:ascii="仿宋" w:hAnsi="仿宋" w:eastAsia="仿宋" w:cs="仿宋"/>
          <w:sz w:val="24"/>
          <w:szCs w:val="24"/>
          <w:lang w:eastAsia="zh-CN"/>
        </w:rPr>
      </w:pPr>
    </w:p>
    <w:p w14:paraId="355F6512">
      <w:pPr>
        <w:pStyle w:val="5"/>
        <w:rPr>
          <w:rFonts w:hint="eastAsia" w:ascii="仿宋" w:hAnsi="仿宋" w:eastAsia="仿宋" w:cs="仿宋"/>
          <w:sz w:val="24"/>
          <w:szCs w:val="24"/>
          <w:lang w:eastAsia="zh-CN"/>
        </w:rPr>
      </w:pPr>
    </w:p>
    <w:p w14:paraId="09293838">
      <w:pPr>
        <w:rPr>
          <w:rFonts w:hint="eastAsia" w:ascii="仿宋" w:hAnsi="仿宋" w:eastAsia="仿宋" w:cs="仿宋"/>
          <w:sz w:val="24"/>
          <w:szCs w:val="24"/>
          <w:lang w:eastAsia="zh-CN"/>
        </w:rPr>
      </w:pPr>
    </w:p>
    <w:p w14:paraId="04112544">
      <w:pPr>
        <w:pStyle w:val="5"/>
        <w:rPr>
          <w:rFonts w:hint="eastAsia" w:ascii="仿宋" w:hAnsi="仿宋" w:eastAsia="仿宋" w:cs="仿宋"/>
          <w:lang w:eastAsia="zh-CN"/>
        </w:rPr>
      </w:pPr>
    </w:p>
    <w:p w14:paraId="51FEBC0A">
      <w:pPr>
        <w:jc w:val="center"/>
        <w:rPr>
          <w:rFonts w:hint="eastAsia" w:ascii="仿宋" w:hAnsi="仿宋" w:eastAsia="仿宋" w:cs="仿宋"/>
          <w:sz w:val="24"/>
          <w:szCs w:val="24"/>
          <w:lang w:eastAsia="zh-CN"/>
        </w:rPr>
      </w:pPr>
    </w:p>
    <w:p w14:paraId="6524F011">
      <w:pPr>
        <w:jc w:val="center"/>
        <w:rPr>
          <w:rFonts w:hint="eastAsia" w:ascii="仿宋" w:hAnsi="仿宋" w:eastAsia="仿宋" w:cs="仿宋"/>
          <w:sz w:val="24"/>
          <w:szCs w:val="24"/>
          <w:lang w:eastAsia="zh-CN"/>
        </w:rPr>
      </w:pPr>
    </w:p>
    <w:p w14:paraId="566B7064">
      <w:pPr>
        <w:jc w:val="center"/>
        <w:rPr>
          <w:rFonts w:hint="eastAsia" w:ascii="仿宋" w:hAnsi="仿宋" w:eastAsia="仿宋" w:cs="仿宋"/>
          <w:sz w:val="24"/>
          <w:szCs w:val="24"/>
          <w:lang w:eastAsia="zh-CN"/>
        </w:rPr>
      </w:pPr>
    </w:p>
    <w:p w14:paraId="3C6E2B41">
      <w:pPr>
        <w:ind w:firstLine="1992" w:firstLineChars="664"/>
        <w:rPr>
          <w:rFonts w:hint="eastAsia" w:ascii="仿宋" w:hAnsi="仿宋" w:eastAsia="仿宋" w:cs="仿宋"/>
          <w:sz w:val="30"/>
          <w:szCs w:val="30"/>
        </w:rPr>
      </w:pPr>
      <w:r>
        <w:rPr>
          <w:rFonts w:hint="eastAsia" w:ascii="仿宋" w:hAnsi="仿宋" w:eastAsia="仿宋" w:cs="仿宋"/>
          <w:sz w:val="30"/>
          <w:szCs w:val="30"/>
        </w:rPr>
        <w:t>甲  方：XXXXXXX</w:t>
      </w:r>
    </w:p>
    <w:p w14:paraId="5A264B0C">
      <w:pPr>
        <w:tabs>
          <w:tab w:val="left" w:pos="480"/>
        </w:tabs>
        <w:ind w:firstLine="1992" w:firstLineChars="664"/>
        <w:rPr>
          <w:rFonts w:hint="eastAsia" w:ascii="仿宋" w:hAnsi="仿宋" w:eastAsia="仿宋" w:cs="仿宋"/>
          <w:sz w:val="30"/>
          <w:szCs w:val="30"/>
        </w:rPr>
      </w:pPr>
      <w:r>
        <w:rPr>
          <w:rFonts w:hint="eastAsia" w:ascii="仿宋" w:hAnsi="仿宋" w:eastAsia="仿宋" w:cs="仿宋"/>
          <w:sz w:val="30"/>
          <w:szCs w:val="30"/>
        </w:rPr>
        <w:t>乙  方：XXXXXXX</w:t>
      </w:r>
    </w:p>
    <w:p w14:paraId="092922A8">
      <w:pPr>
        <w:jc w:val="center"/>
        <w:rPr>
          <w:rFonts w:hint="eastAsia" w:ascii="仿宋" w:hAnsi="仿宋" w:eastAsia="仿宋" w:cs="仿宋"/>
          <w:sz w:val="30"/>
          <w:szCs w:val="30"/>
        </w:rPr>
      </w:pPr>
    </w:p>
    <w:p w14:paraId="3A725CDF">
      <w:pPr>
        <w:jc w:val="center"/>
        <w:rPr>
          <w:rFonts w:hint="eastAsia" w:ascii="仿宋" w:hAnsi="仿宋" w:eastAsia="仿宋" w:cs="仿宋"/>
          <w:sz w:val="30"/>
          <w:szCs w:val="30"/>
        </w:rPr>
      </w:pPr>
    </w:p>
    <w:p w14:paraId="4E979FA5">
      <w:pPr>
        <w:pStyle w:val="5"/>
        <w:rPr>
          <w:rFonts w:hint="eastAsia" w:ascii="仿宋" w:hAnsi="仿宋" w:eastAsia="仿宋" w:cs="仿宋"/>
          <w:sz w:val="30"/>
          <w:szCs w:val="30"/>
        </w:rPr>
      </w:pPr>
    </w:p>
    <w:p w14:paraId="7CB795EC">
      <w:pPr>
        <w:rPr>
          <w:rFonts w:hint="eastAsia" w:ascii="仿宋" w:hAnsi="仿宋" w:eastAsia="仿宋" w:cs="仿宋"/>
          <w:sz w:val="30"/>
          <w:szCs w:val="30"/>
        </w:rPr>
      </w:pPr>
    </w:p>
    <w:p w14:paraId="310CAB27">
      <w:pPr>
        <w:pStyle w:val="5"/>
        <w:rPr>
          <w:rFonts w:hint="eastAsia" w:ascii="仿宋" w:hAnsi="仿宋" w:eastAsia="仿宋" w:cs="仿宋"/>
          <w:sz w:val="30"/>
          <w:szCs w:val="30"/>
        </w:rPr>
      </w:pPr>
    </w:p>
    <w:p w14:paraId="6B44DECF">
      <w:pPr>
        <w:rPr>
          <w:rFonts w:hint="eastAsia" w:ascii="仿宋" w:hAnsi="仿宋" w:eastAsia="仿宋" w:cs="仿宋"/>
          <w:sz w:val="30"/>
          <w:szCs w:val="30"/>
        </w:rPr>
      </w:pPr>
    </w:p>
    <w:p w14:paraId="092B3787">
      <w:pPr>
        <w:pStyle w:val="5"/>
        <w:rPr>
          <w:rFonts w:hint="eastAsia" w:ascii="仿宋" w:hAnsi="仿宋" w:eastAsia="仿宋" w:cs="仿宋"/>
          <w:sz w:val="30"/>
          <w:szCs w:val="30"/>
        </w:rPr>
      </w:pPr>
    </w:p>
    <w:p w14:paraId="1130BCDE">
      <w:pPr>
        <w:rPr>
          <w:rFonts w:hint="eastAsia" w:ascii="仿宋" w:hAnsi="仿宋" w:eastAsia="仿宋" w:cs="仿宋"/>
        </w:rPr>
      </w:pPr>
    </w:p>
    <w:p w14:paraId="2F749D8E">
      <w:pPr>
        <w:jc w:val="center"/>
        <w:rPr>
          <w:rFonts w:hint="eastAsia" w:ascii="仿宋" w:hAnsi="仿宋" w:eastAsia="仿宋" w:cs="仿宋"/>
          <w:sz w:val="30"/>
          <w:szCs w:val="30"/>
          <w:lang w:eastAsia="zh-CN"/>
        </w:rPr>
      </w:pPr>
      <w:r>
        <w:rPr>
          <w:rFonts w:hint="eastAsia" w:ascii="仿宋" w:hAnsi="仿宋" w:eastAsia="仿宋" w:cs="仿宋"/>
          <w:sz w:val="30"/>
          <w:szCs w:val="30"/>
          <w:lang w:eastAsia="zh-CN"/>
        </w:rPr>
        <w:t>中国  西安</w:t>
      </w:r>
    </w:p>
    <w:p w14:paraId="41793C11">
      <w:pPr>
        <w:rPr>
          <w:b/>
          <w:sz w:val="30"/>
          <w:szCs w:val="30"/>
          <w:lang w:eastAsia="zh-CN"/>
        </w:rPr>
      </w:pPr>
      <w:r>
        <w:rPr>
          <w:rFonts w:hint="eastAsia"/>
          <w:b/>
          <w:sz w:val="30"/>
          <w:szCs w:val="30"/>
          <w:lang w:eastAsia="zh-CN"/>
        </w:rPr>
        <w:br w:type="page"/>
      </w:r>
    </w:p>
    <w:p w14:paraId="008A6D95">
      <w:pPr>
        <w:jc w:val="center"/>
        <w:rPr>
          <w:rFonts w:hint="eastAsia" w:ascii="仿宋" w:hAnsi="仿宋" w:eastAsia="仿宋" w:cs="仿宋"/>
          <w:bCs/>
          <w:sz w:val="32"/>
          <w:szCs w:val="32"/>
          <w:lang w:eastAsia="zh-CN"/>
        </w:rPr>
      </w:pPr>
      <w:r>
        <w:rPr>
          <w:rFonts w:hint="eastAsia" w:ascii="仿宋" w:hAnsi="仿宋" w:eastAsia="仿宋" w:cs="仿宋"/>
          <w:bCs/>
          <w:sz w:val="32"/>
          <w:szCs w:val="32"/>
          <w:lang w:eastAsia="zh-CN"/>
        </w:rPr>
        <w:t>供 货 合 同</w:t>
      </w:r>
    </w:p>
    <w:p w14:paraId="39D21A81">
      <w:pPr>
        <w:autoSpaceDE/>
        <w:autoSpaceDN/>
        <w:spacing w:line="360" w:lineRule="auto"/>
        <w:ind w:firstLine="640" w:firstLineChars="200"/>
        <w:rPr>
          <w:rFonts w:ascii="仿宋_GB2312" w:hAnsi="仿宋_GB2312" w:eastAsia="仿宋_GB2312" w:cs="仿宋_GB2312"/>
          <w:sz w:val="32"/>
          <w:szCs w:val="32"/>
          <w:lang w:eastAsia="zh-CN"/>
        </w:rPr>
      </w:pPr>
    </w:p>
    <w:p w14:paraId="33AFD161">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甲方：西安市第三医院</w:t>
      </w:r>
    </w:p>
    <w:p w14:paraId="08291EE0">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住所地：西安市凤城三路东段10号</w:t>
      </w:r>
    </w:p>
    <w:p w14:paraId="446B4855">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 xml:space="preserve">法定代表人：杨军乐 </w:t>
      </w:r>
    </w:p>
    <w:p w14:paraId="449C905C">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联系方式： 029-61816199</w:t>
      </w:r>
    </w:p>
    <w:p w14:paraId="37A52019">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乙方：</w:t>
      </w:r>
    </w:p>
    <w:p w14:paraId="633C5644">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住所地：</w:t>
      </w:r>
    </w:p>
    <w:p w14:paraId="2D11F4EB">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法定代表人： </w:t>
      </w:r>
    </w:p>
    <w:p w14:paraId="2DBA46D7">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联系方式：</w:t>
      </w:r>
    </w:p>
    <w:p w14:paraId="7E7B131A">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见证方：</w:t>
      </w:r>
    </w:p>
    <w:p w14:paraId="1ED8488E">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 xml:space="preserve">住所地： </w:t>
      </w:r>
    </w:p>
    <w:p w14:paraId="6029F36C">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联系方式：</w:t>
      </w:r>
    </w:p>
    <w:p w14:paraId="788A2542">
      <w:pPr>
        <w:keepNext w:val="0"/>
        <w:keepLines w:val="0"/>
        <w:pageBreakBefore w:val="0"/>
        <w:kinsoku/>
        <w:overflowPunct/>
        <w:topLinePunct w:val="0"/>
        <w:autoSpaceDE/>
        <w:autoSpaceDN/>
        <w:bidi w:val="0"/>
        <w:adjustRightInd/>
        <w:spacing w:line="240" w:lineRule="auto"/>
        <w:ind w:firstLine="420" w:firstLineChars="200"/>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鉴证方就甲方所需货物，在西安市财政局政府采购管理处的监督管理下，按照政府采购程序组织公开招标，确定乙方为XXX项目第X标段（项目编号：XCZX201X-XXXX）中标供应商。依据《中华人民共和国政府采购法》、《中华人民共和国合同法》以及西安市市级单位政府采购中心招标文件、中标通知书，经甲、乙双方协商，鉴证方确认，达成如下合同条款。</w:t>
      </w:r>
    </w:p>
    <w:p w14:paraId="31C0B02A">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一、合同标的物内容及数量（以投标文件正本和澄清表〈函〉为准）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643"/>
        <w:gridCol w:w="1843"/>
        <w:gridCol w:w="962"/>
        <w:gridCol w:w="962"/>
        <w:gridCol w:w="1596"/>
      </w:tblGrid>
      <w:tr w14:paraId="6B76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07BEDA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序号</w:t>
            </w:r>
          </w:p>
        </w:tc>
        <w:tc>
          <w:tcPr>
            <w:tcW w:w="1643" w:type="dxa"/>
            <w:tcBorders>
              <w:top w:val="single" w:color="auto" w:sz="4" w:space="0"/>
              <w:left w:val="single" w:color="auto" w:sz="4" w:space="0"/>
              <w:bottom w:val="single" w:color="auto" w:sz="4" w:space="0"/>
              <w:right w:val="single" w:color="auto" w:sz="4" w:space="0"/>
            </w:tcBorders>
            <w:vAlign w:val="center"/>
          </w:tcPr>
          <w:p w14:paraId="626F0D7B">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货物名称</w:t>
            </w:r>
          </w:p>
        </w:tc>
        <w:tc>
          <w:tcPr>
            <w:tcW w:w="1843" w:type="dxa"/>
            <w:tcBorders>
              <w:top w:val="single" w:color="auto" w:sz="4" w:space="0"/>
              <w:left w:val="single" w:color="auto" w:sz="4" w:space="0"/>
              <w:bottom w:val="single" w:color="auto" w:sz="4" w:space="0"/>
              <w:right w:val="single" w:color="auto" w:sz="4" w:space="0"/>
            </w:tcBorders>
            <w:vAlign w:val="center"/>
          </w:tcPr>
          <w:p w14:paraId="74182BE7">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规格型号</w:t>
            </w:r>
          </w:p>
        </w:tc>
        <w:tc>
          <w:tcPr>
            <w:tcW w:w="962" w:type="dxa"/>
            <w:tcBorders>
              <w:top w:val="single" w:color="auto" w:sz="4" w:space="0"/>
              <w:left w:val="single" w:color="auto" w:sz="4" w:space="0"/>
              <w:right w:val="single" w:color="auto" w:sz="4" w:space="0"/>
            </w:tcBorders>
            <w:vAlign w:val="center"/>
          </w:tcPr>
          <w:p w14:paraId="7759E3D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单价</w:t>
            </w:r>
          </w:p>
        </w:tc>
        <w:tc>
          <w:tcPr>
            <w:tcW w:w="962" w:type="dxa"/>
            <w:tcBorders>
              <w:top w:val="single" w:color="auto" w:sz="4" w:space="0"/>
              <w:left w:val="single" w:color="auto" w:sz="4" w:space="0"/>
              <w:bottom w:val="single" w:color="auto" w:sz="4" w:space="0"/>
              <w:right w:val="single" w:color="auto" w:sz="4" w:space="0"/>
            </w:tcBorders>
            <w:vAlign w:val="center"/>
          </w:tcPr>
          <w:p w14:paraId="74077EA7">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产地</w:t>
            </w:r>
          </w:p>
        </w:tc>
        <w:tc>
          <w:tcPr>
            <w:tcW w:w="1596" w:type="dxa"/>
            <w:tcBorders>
              <w:top w:val="single" w:color="auto" w:sz="4" w:space="0"/>
              <w:left w:val="single" w:color="auto" w:sz="4" w:space="0"/>
              <w:bottom w:val="single" w:color="auto" w:sz="4" w:space="0"/>
              <w:right w:val="single" w:color="auto" w:sz="4" w:space="0"/>
            </w:tcBorders>
            <w:vAlign w:val="center"/>
          </w:tcPr>
          <w:p w14:paraId="245C0850">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备注</w:t>
            </w:r>
          </w:p>
        </w:tc>
      </w:tr>
      <w:tr w14:paraId="799D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569D554">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1</w:t>
            </w:r>
          </w:p>
        </w:tc>
        <w:tc>
          <w:tcPr>
            <w:tcW w:w="1643" w:type="dxa"/>
            <w:tcBorders>
              <w:top w:val="single" w:color="auto" w:sz="4" w:space="0"/>
              <w:left w:val="single" w:color="auto" w:sz="4" w:space="0"/>
              <w:bottom w:val="single" w:color="auto" w:sz="4" w:space="0"/>
              <w:right w:val="single" w:color="auto" w:sz="4" w:space="0"/>
            </w:tcBorders>
            <w:vAlign w:val="center"/>
          </w:tcPr>
          <w:p w14:paraId="57C0263D">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65ED2929">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2CBD82F7">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38A3177E">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14D3A821">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6ADF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72A067D">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2</w:t>
            </w:r>
          </w:p>
        </w:tc>
        <w:tc>
          <w:tcPr>
            <w:tcW w:w="1643" w:type="dxa"/>
            <w:tcBorders>
              <w:top w:val="single" w:color="auto" w:sz="4" w:space="0"/>
              <w:left w:val="single" w:color="auto" w:sz="4" w:space="0"/>
              <w:bottom w:val="single" w:color="auto" w:sz="4" w:space="0"/>
              <w:right w:val="single" w:color="auto" w:sz="4" w:space="0"/>
            </w:tcBorders>
            <w:vAlign w:val="center"/>
          </w:tcPr>
          <w:p w14:paraId="55BBF5B7">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3493E64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5599CDD1">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1941A71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6A73578E">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213D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2EC918C">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3</w:t>
            </w:r>
          </w:p>
        </w:tc>
        <w:tc>
          <w:tcPr>
            <w:tcW w:w="1643" w:type="dxa"/>
            <w:tcBorders>
              <w:top w:val="single" w:color="auto" w:sz="4" w:space="0"/>
              <w:left w:val="single" w:color="auto" w:sz="4" w:space="0"/>
              <w:bottom w:val="single" w:color="auto" w:sz="4" w:space="0"/>
              <w:right w:val="single" w:color="auto" w:sz="4" w:space="0"/>
            </w:tcBorders>
            <w:vAlign w:val="center"/>
          </w:tcPr>
          <w:p w14:paraId="7AD09336">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4A9995C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0542933A">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16D7732A">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052C342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2B16A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21A6AA7">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4</w:t>
            </w:r>
          </w:p>
        </w:tc>
        <w:tc>
          <w:tcPr>
            <w:tcW w:w="1643" w:type="dxa"/>
            <w:tcBorders>
              <w:top w:val="single" w:color="auto" w:sz="4" w:space="0"/>
              <w:left w:val="single" w:color="auto" w:sz="4" w:space="0"/>
              <w:bottom w:val="single" w:color="auto" w:sz="4" w:space="0"/>
              <w:right w:val="single" w:color="auto" w:sz="4" w:space="0"/>
            </w:tcBorders>
            <w:vAlign w:val="center"/>
          </w:tcPr>
          <w:p w14:paraId="0403B5E5">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5776FAEC">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32C24FC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096ED9A4">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40C5F325">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73059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020D00BD">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5</w:t>
            </w:r>
          </w:p>
        </w:tc>
        <w:tc>
          <w:tcPr>
            <w:tcW w:w="1643" w:type="dxa"/>
            <w:tcBorders>
              <w:top w:val="single" w:color="auto" w:sz="4" w:space="0"/>
              <w:left w:val="single" w:color="auto" w:sz="4" w:space="0"/>
              <w:bottom w:val="single" w:color="auto" w:sz="4" w:space="0"/>
              <w:right w:val="single" w:color="auto" w:sz="4" w:space="0"/>
            </w:tcBorders>
            <w:vAlign w:val="center"/>
          </w:tcPr>
          <w:p w14:paraId="051BFEF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31025A55">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084B58D0">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5384BB66">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07165584">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231D0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A555C60">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6</w:t>
            </w:r>
          </w:p>
        </w:tc>
        <w:tc>
          <w:tcPr>
            <w:tcW w:w="1643" w:type="dxa"/>
            <w:tcBorders>
              <w:top w:val="single" w:color="auto" w:sz="4" w:space="0"/>
              <w:left w:val="single" w:color="auto" w:sz="4" w:space="0"/>
              <w:bottom w:val="single" w:color="auto" w:sz="4" w:space="0"/>
              <w:right w:val="single" w:color="auto" w:sz="4" w:space="0"/>
            </w:tcBorders>
            <w:vAlign w:val="center"/>
          </w:tcPr>
          <w:p w14:paraId="72AFFC88">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0C666630">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34FDE84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0C76CFB1">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75728E0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227C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918601C">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7</w:t>
            </w:r>
          </w:p>
        </w:tc>
        <w:tc>
          <w:tcPr>
            <w:tcW w:w="1643" w:type="dxa"/>
            <w:tcBorders>
              <w:top w:val="single" w:color="auto" w:sz="4" w:space="0"/>
              <w:left w:val="single" w:color="auto" w:sz="4" w:space="0"/>
              <w:bottom w:val="single" w:color="auto" w:sz="4" w:space="0"/>
              <w:right w:val="single" w:color="auto" w:sz="4" w:space="0"/>
            </w:tcBorders>
            <w:vAlign w:val="center"/>
          </w:tcPr>
          <w:p w14:paraId="62254D9A">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4593D0C9">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4DB18EEA">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71198E4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216FA20C">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1399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9BF394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8</w:t>
            </w:r>
          </w:p>
        </w:tc>
        <w:tc>
          <w:tcPr>
            <w:tcW w:w="1643" w:type="dxa"/>
            <w:tcBorders>
              <w:top w:val="single" w:color="auto" w:sz="4" w:space="0"/>
              <w:left w:val="single" w:color="auto" w:sz="4" w:space="0"/>
              <w:bottom w:val="single" w:color="auto" w:sz="4" w:space="0"/>
              <w:right w:val="single" w:color="auto" w:sz="4" w:space="0"/>
            </w:tcBorders>
            <w:vAlign w:val="center"/>
          </w:tcPr>
          <w:p w14:paraId="7B46A0C8">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3C953C1C">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right w:val="single" w:color="auto" w:sz="4" w:space="0"/>
            </w:tcBorders>
            <w:vAlign w:val="center"/>
          </w:tcPr>
          <w:p w14:paraId="03C4841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1D001A1B">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7D677243">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r w14:paraId="1E65A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01DD31AE">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r>
              <w:rPr>
                <w:rFonts w:hint="eastAsia"/>
                <w:spacing w:val="-20"/>
                <w:sz w:val="21"/>
                <w:szCs w:val="21"/>
              </w:rPr>
              <w:t>9</w:t>
            </w:r>
          </w:p>
        </w:tc>
        <w:tc>
          <w:tcPr>
            <w:tcW w:w="1643" w:type="dxa"/>
            <w:tcBorders>
              <w:top w:val="single" w:color="auto" w:sz="4" w:space="0"/>
              <w:left w:val="single" w:color="auto" w:sz="4" w:space="0"/>
              <w:bottom w:val="single" w:color="auto" w:sz="4" w:space="0"/>
              <w:right w:val="single" w:color="auto" w:sz="4" w:space="0"/>
            </w:tcBorders>
            <w:vAlign w:val="center"/>
          </w:tcPr>
          <w:p w14:paraId="45D3FC9A">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1D746CB4">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left w:val="single" w:color="auto" w:sz="4" w:space="0"/>
              <w:bottom w:val="single" w:color="auto" w:sz="4" w:space="0"/>
              <w:right w:val="single" w:color="auto" w:sz="4" w:space="0"/>
            </w:tcBorders>
            <w:vAlign w:val="center"/>
          </w:tcPr>
          <w:p w14:paraId="6AA859AF">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962" w:type="dxa"/>
            <w:tcBorders>
              <w:top w:val="single" w:color="auto" w:sz="4" w:space="0"/>
              <w:left w:val="single" w:color="auto" w:sz="4" w:space="0"/>
              <w:bottom w:val="single" w:color="auto" w:sz="4" w:space="0"/>
              <w:right w:val="single" w:color="auto" w:sz="4" w:space="0"/>
            </w:tcBorders>
            <w:vAlign w:val="center"/>
          </w:tcPr>
          <w:p w14:paraId="2A15959F">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c>
          <w:tcPr>
            <w:tcW w:w="1596" w:type="dxa"/>
            <w:tcBorders>
              <w:top w:val="single" w:color="auto" w:sz="4" w:space="0"/>
              <w:left w:val="single" w:color="auto" w:sz="4" w:space="0"/>
              <w:bottom w:val="single" w:color="auto" w:sz="4" w:space="0"/>
              <w:right w:val="single" w:color="auto" w:sz="4" w:space="0"/>
            </w:tcBorders>
            <w:vAlign w:val="center"/>
          </w:tcPr>
          <w:p w14:paraId="0B8C9872">
            <w:pPr>
              <w:keepNext w:val="0"/>
              <w:keepLines w:val="0"/>
              <w:pageBreakBefore w:val="0"/>
              <w:tabs>
                <w:tab w:val="left" w:pos="480"/>
              </w:tabs>
              <w:kinsoku/>
              <w:overflowPunct/>
              <w:topLinePunct w:val="0"/>
              <w:autoSpaceDE/>
              <w:autoSpaceDN/>
              <w:bidi w:val="0"/>
              <w:adjustRightInd/>
              <w:spacing w:line="240" w:lineRule="auto"/>
              <w:jc w:val="center"/>
              <w:textAlignment w:val="auto"/>
              <w:rPr>
                <w:spacing w:val="-20"/>
                <w:sz w:val="21"/>
                <w:szCs w:val="21"/>
              </w:rPr>
            </w:pPr>
          </w:p>
        </w:tc>
      </w:tr>
    </w:tbl>
    <w:p w14:paraId="216D9BF0">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（技术参数可附附件或详见投标文件，需说明清楚）</w:t>
      </w:r>
    </w:p>
    <w:p w14:paraId="1965B6F4">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二、交货条件：</w:t>
      </w:r>
    </w:p>
    <w:p w14:paraId="43E02C5C">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（以下内容仅为示例，本条款内容必须与招标文件对应条款内容及投标文件响应条款保持一致）</w:t>
      </w:r>
    </w:p>
    <w:p w14:paraId="7EAC90AB">
      <w:pPr>
        <w:keepNext w:val="0"/>
        <w:keepLines w:val="0"/>
        <w:pageBreakBefore w:val="0"/>
        <w:tabs>
          <w:tab w:val="left" w:pos="480"/>
        </w:tabs>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（一）交货地点：甲方指定地点。</w:t>
      </w:r>
    </w:p>
    <w:p w14:paraId="0E998A35">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（二）交货期：自接到采购人订单之日起</w:t>
      </w:r>
      <w:r>
        <w:rPr>
          <w:rFonts w:hint="eastAsia" w:ascii="仿宋_GB2312" w:hAnsi="仿宋_GB2312" w:eastAsia="仿宋_GB2312" w:cs="仿宋_GB2312"/>
          <w:sz w:val="21"/>
          <w:szCs w:val="21"/>
          <w:u w:val="single"/>
          <w:lang w:eastAsia="zh-CN"/>
        </w:rPr>
        <w:t xml:space="preserve">     </w:t>
      </w:r>
      <w:r>
        <w:rPr>
          <w:rFonts w:hint="eastAsia" w:ascii="仿宋_GB2312" w:hAnsi="仿宋_GB2312" w:eastAsia="仿宋_GB2312" w:cs="仿宋_GB2312"/>
          <w:sz w:val="21"/>
          <w:szCs w:val="21"/>
          <w:lang w:eastAsia="zh-CN"/>
        </w:rPr>
        <w:t>个日历日内交付采购人并验收合格</w:t>
      </w:r>
    </w:p>
    <w:p w14:paraId="7C0B4094">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三、合同价款</w:t>
      </w:r>
    </w:p>
    <w:p w14:paraId="69B53BAA">
      <w:pPr>
        <w:keepNext w:val="0"/>
        <w:keepLines w:val="0"/>
        <w:pageBreakBefore w:val="0"/>
        <w:kinsoku/>
        <w:overflowPunct/>
        <w:topLinePunct w:val="0"/>
        <w:autoSpaceDE/>
        <w:autoSpaceDN/>
        <w:bidi w:val="0"/>
        <w:adjustRightInd/>
        <w:spacing w:line="240" w:lineRule="auto"/>
        <w:ind w:firstLine="420" w:firstLineChars="200"/>
        <w:jc w:val="both"/>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（一）合同总价款为人民币（大写）；￥元。</w:t>
      </w:r>
    </w:p>
    <w:p w14:paraId="4EF4F8C9">
      <w:pPr>
        <w:keepNext w:val="0"/>
        <w:keepLines w:val="0"/>
        <w:pageBreakBefore w:val="0"/>
        <w:kinsoku/>
        <w:overflowPunct/>
        <w:topLinePunct w:val="0"/>
        <w:autoSpaceDE/>
        <w:autoSpaceDN/>
        <w:bidi w:val="0"/>
        <w:adjustRightInd/>
        <w:spacing w:line="240" w:lineRule="auto"/>
        <w:ind w:firstLine="420" w:firstLineChars="200"/>
        <w:jc w:val="both"/>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（二）合同总价包括：×××费、×××费、×××费和其他费用。</w:t>
      </w:r>
    </w:p>
    <w:p w14:paraId="66A1F409">
      <w:pPr>
        <w:keepNext w:val="0"/>
        <w:keepLines w:val="0"/>
        <w:pageBreakBefore w:val="0"/>
        <w:kinsoku/>
        <w:overflowPunct/>
        <w:topLinePunct w:val="0"/>
        <w:autoSpaceDE/>
        <w:autoSpaceDN/>
        <w:bidi w:val="0"/>
        <w:adjustRightInd/>
        <w:spacing w:line="240" w:lineRule="auto"/>
        <w:ind w:firstLine="420" w:firstLineChars="200"/>
        <w:jc w:val="both"/>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（三）合同总价一次性包死，不受市场价格变化因素的影响。</w:t>
      </w:r>
    </w:p>
    <w:p w14:paraId="5DFD9F93">
      <w:pPr>
        <w:keepNext w:val="0"/>
        <w:keepLines w:val="0"/>
        <w:pageBreakBefore w:val="0"/>
        <w:kinsoku/>
        <w:overflowPunct/>
        <w:topLinePunct w:val="0"/>
        <w:autoSpaceDE/>
        <w:autoSpaceDN/>
        <w:bidi w:val="0"/>
        <w:adjustRightInd/>
        <w:spacing w:line="240" w:lineRule="auto"/>
        <w:ind w:firstLine="420" w:firstLineChars="200"/>
        <w:jc w:val="both"/>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（四）合同为单价合同据实结算，合同单价为供应商投标单价。</w:t>
      </w:r>
    </w:p>
    <w:p w14:paraId="25024392">
      <w:pPr>
        <w:keepNext w:val="0"/>
        <w:keepLines w:val="0"/>
        <w:pageBreakBefore w:val="0"/>
        <w:tabs>
          <w:tab w:val="left" w:pos="480"/>
        </w:tabs>
        <w:kinsoku/>
        <w:overflowPunct/>
        <w:topLinePunct w:val="0"/>
        <w:autoSpaceDE/>
        <w:autoSpaceDN/>
        <w:bidi w:val="0"/>
        <w:adjustRightInd/>
        <w:spacing w:line="240" w:lineRule="auto"/>
        <w:textAlignment w:val="auto"/>
        <w:rPr>
          <w:rFonts w:hint="eastAsia"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四、款项结算</w:t>
      </w:r>
    </w:p>
    <w:p w14:paraId="4782C4F8">
      <w:pPr>
        <w:keepNext w:val="0"/>
        <w:keepLines w:val="0"/>
        <w:pageBreakBefore w:val="0"/>
        <w:widowControl w:val="0"/>
        <w:kinsoku/>
        <w:overflowPunct/>
        <w:topLinePunct w:val="0"/>
        <w:autoSpaceDE/>
        <w:autoSpaceDN/>
        <w:bidi w:val="0"/>
        <w:adjustRightInd/>
        <w:spacing w:line="240" w:lineRule="auto"/>
        <w:ind w:firstLine="420" w:firstLineChars="200"/>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合同按月结算，甲方每月付款给乙方，每月初甲方收到乙方上月供货明细，并审核无误后通知乙方，乙方于收到通知之日起七日内出具正规等额含税发票，开始办理结算手续。甲方财务部门依据乙方提供等额合规税票，按合同规定向乙方支付物资价款。若乙方未按本合同约定及时提供等额合规税票或发货清单等结算资料，甲方付款期限顺延。</w:t>
      </w:r>
    </w:p>
    <w:p w14:paraId="60DF01FF">
      <w:pPr>
        <w:keepNext w:val="0"/>
        <w:keepLines w:val="0"/>
        <w:pageBreakBefore w:val="0"/>
        <w:widowControl w:val="0"/>
        <w:kinsoku/>
        <w:overflowPunct/>
        <w:topLinePunct w:val="0"/>
        <w:autoSpaceDE/>
        <w:autoSpaceDN/>
        <w:bidi w:val="0"/>
        <w:adjustRightInd/>
        <w:spacing w:line="240" w:lineRule="auto"/>
        <w:ind w:firstLine="420" w:firstLineChars="200"/>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（二）支付方式：银行转账。</w:t>
      </w:r>
    </w:p>
    <w:p w14:paraId="48990FB0">
      <w:pPr>
        <w:keepNext w:val="0"/>
        <w:keepLines w:val="0"/>
        <w:pageBreakBefore w:val="0"/>
        <w:widowControl w:val="0"/>
        <w:kinsoku/>
        <w:overflowPunct/>
        <w:topLinePunct w:val="0"/>
        <w:autoSpaceDE/>
        <w:autoSpaceDN/>
        <w:bidi w:val="0"/>
        <w:adjustRightInd/>
        <w:spacing w:line="240" w:lineRule="auto"/>
        <w:ind w:firstLine="420" w:firstLineChars="200"/>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（三）未按照甲方采购管理部门总务科提供的计划（计划包括时间、数量、质量、分配计划等）配送，甲方不予付款。</w:t>
      </w:r>
    </w:p>
    <w:p w14:paraId="2DECA31F">
      <w:pPr>
        <w:pStyle w:val="5"/>
        <w:keepNext w:val="0"/>
        <w:keepLines w:val="0"/>
        <w:pageBreakBefore w:val="0"/>
        <w:kinsoku/>
        <w:overflowPunct/>
        <w:topLinePunct w:val="0"/>
        <w:autoSpaceDE/>
        <w:autoSpaceDN/>
        <w:bidi w:val="0"/>
        <w:adjustRightInd/>
        <w:spacing w:line="240" w:lineRule="auto"/>
        <w:textAlignment w:val="auto"/>
        <w:rPr>
          <w:sz w:val="21"/>
          <w:szCs w:val="21"/>
          <w:lang w:eastAsia="zh-CN"/>
        </w:rPr>
      </w:pPr>
    </w:p>
    <w:p w14:paraId="3F88A9E0">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五、双方的权利和义务</w:t>
      </w:r>
    </w:p>
    <w:p w14:paraId="25EED5DD">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（一）甲方的权利和义务</w:t>
      </w:r>
    </w:p>
    <w:p w14:paraId="3B881CAF">
      <w:pPr>
        <w:pStyle w:val="8"/>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1.采购人根据磋商文件的要求对货物进行验收。</w:t>
      </w:r>
    </w:p>
    <w:p w14:paraId="4B697147">
      <w:pPr>
        <w:pStyle w:val="8"/>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2.采购人负责协调货物进场之后与使用部门对接事宜。</w:t>
      </w:r>
    </w:p>
    <w:p w14:paraId="3A9FB937">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（二）乙方的权利和义务</w:t>
      </w:r>
    </w:p>
    <w:p w14:paraId="109C9393">
      <w:pPr>
        <w:pStyle w:val="8"/>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1.供应商根据招标要求，确保采购货物如期保质保量交付。</w:t>
      </w:r>
    </w:p>
    <w:p w14:paraId="0995ABAF">
      <w:pPr>
        <w:pStyle w:val="8"/>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2.乙方按甲方每次订货的要求将货物配送到甲方指定地点，乙方承</w:t>
      </w:r>
      <w:r>
        <w:rPr>
          <w:rFonts w:hint="eastAsia" w:ascii="仿宋_GB2312" w:hAnsi="仿宋_GB2312" w:eastAsia="仿宋_GB2312" w:cs="仿宋_GB2312"/>
          <w:bCs/>
          <w:sz w:val="21"/>
          <w:szCs w:val="21"/>
          <w:lang w:eastAsia="zh-CN"/>
        </w:rPr>
        <w:t>担配送货物的全部费用。</w:t>
      </w:r>
    </w:p>
    <w:p w14:paraId="6D3FD799">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3.因产品质量或设计缺项等问题，而发生的医疗差错或医疗纠纷由中标方负全部责任，由此给甲方造成损失的一方应负责全部赔偿。</w:t>
      </w:r>
    </w:p>
    <w:p w14:paraId="405CDB95">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六、质量保证</w:t>
      </w:r>
    </w:p>
    <w:p w14:paraId="66224C31">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color w:val="FF0000"/>
          <w:sz w:val="21"/>
          <w:szCs w:val="21"/>
          <w:lang w:eastAsia="zh-CN"/>
        </w:rPr>
      </w:pPr>
      <w:r>
        <w:rPr>
          <w:rFonts w:hint="eastAsia" w:ascii="仿宋_GB2312" w:hAnsi="仿宋_GB2312" w:eastAsia="仿宋_GB2312" w:cs="仿宋_GB2312"/>
          <w:b/>
          <w:color w:val="FF0000"/>
          <w:sz w:val="21"/>
          <w:szCs w:val="21"/>
          <w:lang w:eastAsia="zh-CN"/>
        </w:rPr>
        <w:t>（以下内容仅供参考，具体内容按照招标文件以及投标文件响应条款中的对应内容拟定，若投标文件响应条款优于招标文件的按投标文件内容拟定，双方可协商增加内容，但必须优于招标文件要求和投标文件响应内容）</w:t>
      </w:r>
    </w:p>
    <w:p w14:paraId="2F22671D">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乙方所供产品/设备必须执行下列条款：</w:t>
      </w:r>
    </w:p>
    <w:p w14:paraId="3FBEA04A">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保证所供产品/设备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包括但不限于：</w:t>
      </w:r>
    </w:p>
    <w:p w14:paraId="1A3E2E16">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1、×××规范（GB）</w:t>
      </w:r>
    </w:p>
    <w:p w14:paraId="63FA8A01">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2、×××规范（GB/T）</w:t>
      </w:r>
    </w:p>
    <w:p w14:paraId="695F4ED0">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（二）保证所供产品/设备技术指标先进、质量性能可靠、配置合理、进货渠道正规，全面满足招标文件要求，无假货、水货或翻新货，并能按期交付。</w:t>
      </w:r>
    </w:p>
    <w:p w14:paraId="089CFE20">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（三）保证所供产品/设备在装卸、运输和仓储过程中有足够的包装保护，防止产品/设备受潮、锈蚀、遭受冲撞及其他不可预见的损坏。</w:t>
      </w:r>
    </w:p>
    <w:p w14:paraId="7F2B0EA2">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（四）保证所供产品/设备具有良好的外观，适合各种安装场所的使用要求，确保达到最佳运行状态。</w:t>
      </w:r>
    </w:p>
    <w:p w14:paraId="25F24F09">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（五）乙方所供产品/设备因侵权而产生的一切后果由乙方负责，甲方保留索赔权力。</w:t>
      </w:r>
    </w:p>
    <w:p w14:paraId="50208A94">
      <w:pPr>
        <w:pStyle w:val="4"/>
        <w:keepNext w:val="0"/>
        <w:keepLines w:val="0"/>
        <w:pageBreakBefore w:val="0"/>
        <w:kinsoku/>
        <w:overflowPunct/>
        <w:topLinePunct w:val="0"/>
        <w:autoSpaceDE/>
        <w:autoSpaceDN/>
        <w:bidi w:val="0"/>
        <w:adjustRightInd/>
        <w:spacing w:line="240" w:lineRule="auto"/>
        <w:ind w:left="0" w:firstLine="420" w:firstLineChars="200"/>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sz w:val="21"/>
          <w:szCs w:val="21"/>
          <w:lang w:eastAsia="zh-CN"/>
        </w:rPr>
        <w:t>（六）项目执行时如采购人发现中标人所选用的材料及配件无法满足采购人的需求时，采购人有权要求中标人更换不低于采购需求中各类货物技术参数的材料及配件。</w:t>
      </w:r>
    </w:p>
    <w:p w14:paraId="1B5BD295">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（七）</w:t>
      </w:r>
      <w:r>
        <w:rPr>
          <w:rStyle w:val="9"/>
          <w:rFonts w:hint="eastAsia" w:ascii="仿宋_GB2312" w:hAnsi="仿宋_GB2312" w:eastAsia="仿宋_GB2312" w:cs="仿宋_GB2312"/>
          <w:sz w:val="21"/>
          <w:szCs w:val="21"/>
          <w:lang w:eastAsia="zh-CN"/>
        </w:rPr>
        <w:t>所投产品必须符合医院内感染控制要求，必须容易清洁，表面消毒符合《医疗机构消毒技术规范》的标准，必须具有防止消毒液、清洁溶液的渗透浸入和腐蚀性能，且便于清洁污迹。</w:t>
      </w:r>
    </w:p>
    <w:p w14:paraId="2E7BA7AD">
      <w:pPr>
        <w:pStyle w:val="4"/>
        <w:keepNext w:val="0"/>
        <w:keepLines w:val="0"/>
        <w:pageBreakBefore w:val="0"/>
        <w:kinsoku/>
        <w:overflowPunct/>
        <w:topLinePunct w:val="0"/>
        <w:autoSpaceDE/>
        <w:autoSpaceDN/>
        <w:bidi w:val="0"/>
        <w:adjustRightInd/>
        <w:spacing w:line="240" w:lineRule="auto"/>
        <w:ind w:left="0"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（八）中标人须在交货时提供产品质量合格证书、测试报告、甲醛及可分解致癌芳香胺染料释放量的检测报告，甲方有权不定期抽检送第三方机构，质检全部费用由乙方承担。</w:t>
      </w:r>
    </w:p>
    <w:p w14:paraId="533068FC">
      <w:pPr>
        <w:keepNext w:val="0"/>
        <w:keepLines w:val="0"/>
        <w:pageBreakBefore w:val="0"/>
        <w:kinsoku/>
        <w:overflowPunct/>
        <w:topLinePunct w:val="0"/>
        <w:autoSpaceDE/>
        <w:autoSpaceDN/>
        <w:bidi w:val="0"/>
        <w:adjustRightInd/>
        <w:spacing w:line="240" w:lineRule="auto"/>
        <w:ind w:firstLine="420" w:firstLineChars="200"/>
        <w:textAlignment w:val="auto"/>
        <w:rPr>
          <w:sz w:val="21"/>
          <w:szCs w:val="21"/>
          <w:lang w:eastAsia="zh-CN"/>
        </w:rPr>
      </w:pPr>
      <w:r>
        <w:rPr>
          <w:rFonts w:hint="eastAsia" w:ascii="仿宋_GB2312" w:hAnsi="仿宋_GB2312" w:eastAsia="仿宋_GB2312" w:cs="仿宋_GB2312"/>
          <w:sz w:val="21"/>
          <w:szCs w:val="21"/>
          <w:lang w:eastAsia="zh-CN"/>
        </w:rPr>
        <w:t>（九）供应商需保证其提供的棉织品具有优异的尺寸稳定性。成品在经过标准家庭水洗干燥后，其任何方向的尺寸变化（缩水率）必须稳定在≤</w:t>
      </w:r>
      <w:r>
        <w:rPr>
          <w:rFonts w:ascii="仿宋_GB2312" w:hAnsi="仿宋_GB2312" w:eastAsia="仿宋_GB2312" w:cs="仿宋_GB2312"/>
          <w:sz w:val="21"/>
          <w:szCs w:val="21"/>
          <w:lang w:eastAsia="zh-CN"/>
        </w:rPr>
        <w:t>5%以内。</w:t>
      </w:r>
    </w:p>
    <w:p w14:paraId="69C1C0CC">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（十）双方拟定的其他条款。</w:t>
      </w:r>
    </w:p>
    <w:p w14:paraId="185B2F70">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七、包装和储运</w:t>
      </w:r>
    </w:p>
    <w:p w14:paraId="1A8F8A87">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color w:val="FF0000"/>
          <w:sz w:val="21"/>
          <w:szCs w:val="21"/>
          <w:lang w:eastAsia="zh-CN"/>
        </w:rPr>
      </w:pPr>
      <w:r>
        <w:rPr>
          <w:rFonts w:hint="eastAsia" w:ascii="仿宋_GB2312" w:hAnsi="仿宋_GB2312" w:eastAsia="仿宋_GB2312" w:cs="仿宋_GB2312"/>
          <w:b/>
          <w:color w:val="FF0000"/>
          <w:sz w:val="21"/>
          <w:szCs w:val="21"/>
          <w:lang w:eastAsia="zh-CN"/>
        </w:rPr>
        <w:t>（以下内容仅供参考，具体内容按照招标文件以及投标文件响应条款中的对应内容拟定，若投标文件响应条款优于招标文件的按投标文件内容拟定，双方可协商增加内容，但必须优于招标文件要求和投标文件响应内容）</w:t>
      </w:r>
    </w:p>
    <w:p w14:paraId="5F6EFF2E">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（一）产品及其附件的包装应为出厂时的原包装，包装内应附有详细的装箱清单、出厂合格证明及其他相关资料。</w:t>
      </w:r>
    </w:p>
    <w:p w14:paraId="16470023">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（二）运输由乙方负责，运杂费已包含在合同总价内，包括从产品供应地点运送至交付地点所含的运输费、装卸费、仓储费、保险费等。</w:t>
      </w:r>
    </w:p>
    <w:p w14:paraId="1BAEC363">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（三）运输方式由乙方自行选择，但必须保证按期交付。</w:t>
      </w:r>
    </w:p>
    <w:p w14:paraId="34A2E748">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（四）产品及其附件到达甲方指定地点后，乙方应按有关技术规程和甲方要求进行存放和保管。</w:t>
      </w:r>
    </w:p>
    <w:p w14:paraId="723F1794">
      <w:pPr>
        <w:keepNext w:val="0"/>
        <w:keepLines w:val="0"/>
        <w:pageBreakBefore w:val="0"/>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b/>
          <w:color w:val="FF0000"/>
          <w:sz w:val="21"/>
          <w:szCs w:val="21"/>
          <w:lang w:eastAsia="zh-CN"/>
        </w:rPr>
        <w:t>（五）双方拟定的其他条款。</w:t>
      </w:r>
    </w:p>
    <w:p w14:paraId="4C372E13">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八、验收</w:t>
      </w:r>
    </w:p>
    <w:p w14:paraId="29AD13C0">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color w:val="FF0000"/>
          <w:sz w:val="21"/>
          <w:szCs w:val="21"/>
          <w:lang w:eastAsia="zh-CN"/>
        </w:rPr>
        <w:t>（以下内容仅供参考，具体内容按照招标文件以及投标文件响应条款中的对应内容拟定，若投标文件响应条款优于招标文件的按投标文件内容拟定，双方可协商增加内容，但必须优于招标文件要求和投标文件响应内容）</w:t>
      </w:r>
    </w:p>
    <w:p w14:paraId="2192253A">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一）采购人组建验收小组，按国家有关规定规范进行验收，若无国家标准按行业标准验收，必要时邀请相关专业人员或机构参与验收。因货物质量问题发生争议时，由采购人当地质量技术监督部门鉴定。货物符合质量技术标准的，鉴定费由采购人承担；否则鉴定费由中标人承担。</w:t>
      </w:r>
    </w:p>
    <w:p w14:paraId="2097B24B">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（二）中标人须为验收提供必需的一切条件及相关费用。其标准不能低于投标文件中所承诺的质量要求。</w:t>
      </w:r>
    </w:p>
    <w:p w14:paraId="75EB1F16">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三）出厂检验。中标人需提供产品、安装材料、工具和文件的发货清单和计划，发货计划应经采购人认可后实施。中标人负责所提供产品的出厂检验，保证产品原产地和技术指标的真实性、完整性、合法性，并负责将产品送达交货地点，并向采购人提供产品制造厂的出厂检验报告和质量合格证书。</w:t>
      </w:r>
    </w:p>
    <w:p w14:paraId="72B58ABF">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四）中标人应保证所提供的产品符合绿色环保要求，符合纺织品相关甲醛、可分解致癌芳香胺染料等有害物质的限量标准，验收时采购人有权对产品进行抽检，抽检发现甲醛、可分解致癌芳香胺染料等有害物质超标的将由中标人负责所有产品的除污染服务，抽检费用、除污染等因此产生的费用由中标人承担。</w:t>
      </w:r>
    </w:p>
    <w:p w14:paraId="5C082045">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五）产品安装完毕后，由中标人和采购人按验收标准进行联合验收。为保证产品用材质量，采购人有权验收时在所有产品中随机抽样并委托第三方检测机构进行破坏性检验，无论其质量是否符合约定标准，被破坏的产品价款由中标人承担。</w:t>
      </w:r>
    </w:p>
    <w:p w14:paraId="169B258F">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（六）货物的设计、工艺、制作、材料均应达到采购人的要求，并能通过采购人有关部门的验收后，签署验收报告，产品质保期自验收合格之日起计算，由投标人提供产品保修文件。</w:t>
      </w:r>
    </w:p>
    <w:p w14:paraId="4FBB05DB">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（七）验收依据</w:t>
      </w:r>
    </w:p>
    <w:p w14:paraId="05F7AD0A">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1、招标文件、投标文件、澄清表（函）；</w:t>
      </w:r>
    </w:p>
    <w:p w14:paraId="4F4DBB82">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2、本合同及附件文本；</w:t>
      </w:r>
    </w:p>
    <w:p w14:paraId="303F5101">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3、合同签订时国家及行业现行的标准和技术规范。</w:t>
      </w:r>
    </w:p>
    <w:p w14:paraId="691906CC">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（八）乙方应向甲方提交项目实施过程中的所有资料，以便甲方日后管理和维护。</w:t>
      </w:r>
    </w:p>
    <w:p w14:paraId="0E7A11DF">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bCs/>
          <w:sz w:val="21"/>
          <w:szCs w:val="21"/>
          <w:lang w:eastAsia="zh-CN"/>
        </w:rPr>
      </w:pPr>
      <w:r>
        <w:rPr>
          <w:rFonts w:hint="eastAsia" w:ascii="仿宋_GB2312" w:hAnsi="仿宋_GB2312" w:eastAsia="仿宋_GB2312" w:cs="仿宋_GB2312"/>
          <w:bCs/>
          <w:sz w:val="21"/>
          <w:szCs w:val="21"/>
          <w:lang w:eastAsia="zh-CN"/>
        </w:rPr>
        <w:t>（九）双方拟定的其他条款。</w:t>
      </w:r>
    </w:p>
    <w:p w14:paraId="27990F42">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九、售后服务</w:t>
      </w:r>
    </w:p>
    <w:p w14:paraId="68F6FC65">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color w:val="FF0000"/>
          <w:sz w:val="21"/>
          <w:szCs w:val="21"/>
          <w:lang w:eastAsia="zh-CN"/>
        </w:rPr>
        <w:t>（以下内容仅供参考，具体内容按照招标文件以及投标文件响应条款中的对应内容拟定，若投标文件响应条款优于招标文件的按投标文件内容拟定，双方可协商增加内容，但必须优于招标文件要求和投标文件响应内容）</w:t>
      </w:r>
    </w:p>
    <w:p w14:paraId="54E7F8E1">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乙方提供以下售后服务：</w:t>
      </w:r>
    </w:p>
    <w:p w14:paraId="0FBCA1C4">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质量保证期：自甲方签发最终验收合格证书之日起</w:t>
      </w:r>
      <w:r>
        <w:rPr>
          <w:rFonts w:hint="eastAsia" w:ascii="仿宋_GB2312" w:hAnsi="仿宋_GB2312" w:eastAsia="仿宋_GB2312" w:cs="仿宋_GB2312"/>
          <w:sz w:val="21"/>
          <w:szCs w:val="21"/>
          <w:u w:val="single"/>
          <w:lang w:eastAsia="zh-CN"/>
        </w:rPr>
        <w:t xml:space="preserve">     </w:t>
      </w:r>
      <w:r>
        <w:rPr>
          <w:rFonts w:hint="eastAsia" w:ascii="仿宋_GB2312" w:hAnsi="仿宋_GB2312" w:eastAsia="仿宋_GB2312" w:cs="仿宋_GB2312"/>
          <w:sz w:val="21"/>
          <w:szCs w:val="21"/>
          <w:lang w:eastAsia="zh-CN"/>
        </w:rPr>
        <w:t>年，若该质量保证期小于国家标准，则以国家标准为准。产品终身维修。</w:t>
      </w:r>
    </w:p>
    <w:p w14:paraId="4F93A8DE">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（一）质保期：所有货物提供至少</w:t>
      </w:r>
      <w:r>
        <w:rPr>
          <w:rStyle w:val="9"/>
          <w:rFonts w:hint="eastAsia" w:ascii="仿宋_GB2312" w:hAnsi="仿宋_GB2312" w:eastAsia="仿宋_GB2312" w:cs="仿宋_GB2312"/>
          <w:sz w:val="21"/>
          <w:szCs w:val="21"/>
          <w:u w:val="single"/>
          <w:lang w:eastAsia="zh-CN"/>
        </w:rPr>
        <w:t xml:space="preserve">   </w:t>
      </w:r>
      <w:r>
        <w:rPr>
          <w:rStyle w:val="9"/>
          <w:rFonts w:hint="eastAsia" w:ascii="仿宋_GB2312" w:hAnsi="仿宋_GB2312" w:eastAsia="仿宋_GB2312" w:cs="仿宋_GB2312"/>
          <w:sz w:val="21"/>
          <w:szCs w:val="21"/>
          <w:lang w:eastAsia="zh-CN"/>
        </w:rPr>
        <w:t>年质保，质保期内提供上门服务（含部件、人力、上门等），质保期</w:t>
      </w:r>
      <w:r>
        <w:rPr>
          <w:rStyle w:val="9"/>
          <w:rFonts w:hint="eastAsia" w:ascii="仿宋_GB2312" w:hAnsi="仿宋_GB2312" w:eastAsia="仿宋_GB2312" w:cs="仿宋_GB2312"/>
          <w:bCs/>
          <w:sz w:val="21"/>
          <w:szCs w:val="21"/>
          <w:lang w:eastAsia="zh-CN"/>
        </w:rPr>
        <w:t>年</w:t>
      </w:r>
      <w:r>
        <w:rPr>
          <w:rStyle w:val="9"/>
          <w:rFonts w:hint="eastAsia" w:ascii="仿宋_GB2312" w:hAnsi="仿宋_GB2312" w:eastAsia="仿宋_GB2312" w:cs="仿宋_GB2312"/>
          <w:sz w:val="21"/>
          <w:szCs w:val="21"/>
          <w:lang w:eastAsia="zh-CN"/>
        </w:rPr>
        <w:t>内出现质量问题，由中标人更换，所涉及费用由中标人承担。质保期自货物安装并验收之日起计算，相关费用计入报价。</w:t>
      </w:r>
    </w:p>
    <w:p w14:paraId="415CF0C9">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（二）质保期内，如产品或零部件因非人为因素出现故障而造成短期停用时，则质保期维修期相应延长。如停用时间累计超过60天则质保期重新计算。</w:t>
      </w:r>
    </w:p>
    <w:p w14:paraId="2EE849B3">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（三）中标人应提供满足货物质保期内正常使用的备品备件（如有的话），其费用应包括在报价价格之内。</w:t>
      </w:r>
    </w:p>
    <w:p w14:paraId="057A8023">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四）中标人必须在采购人所在地或附近地区有专业的售后服务力量。提供售后服务联系电话及联系人。质保期内，提供7×24小时技术支持保障。供应商接到甲方现场或通过电话、电子邮件、信函等方式提出的服务请求，应在1小时内响应，需要现场解决的，在甲方工作时间应于2小时内到达现场。系统故障排除和问题解决时间不得超过48小时（连同前面时间计算）内处理完毕。规定时间内未处理完毕的，中标人提供不低于同等档次货物供采购人使用至故障货物能正常使用为止。如果需要更换配件的，要求更换的配件跟被更换的品牌、类型相一致或者是同类同档次的替代品，后者需征得采购人管理人员同意。如须增加非投标人的货物和配件，中标人应协助解决。</w:t>
      </w:r>
    </w:p>
    <w:p w14:paraId="00C17FBF">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（五）质保期内的故障报修，如中标人未能做到上款的服务承诺，采购人可采取必要的补救措施，但其风险和费用由中标人承担，由于中标人的保证服务不到位，质保期的到期时间将顺延。</w:t>
      </w:r>
    </w:p>
    <w:p w14:paraId="1E7355E4">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（六）质保期满后，若有零部件出现故障，经权威部门鉴定属于寿命异常问题（明显短于该零部件正常寿命）时，则由中标人负责更换及维修。</w:t>
      </w:r>
    </w:p>
    <w:p w14:paraId="26613827">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（七）质保期满后，应采购人要求，中标人应（参考当时的市场价格）按优惠价格与采购人方签订定期维修保养合同及提供采购人所需零配件，中标人对货物提供终身维护维修服务,只收取零配件成本费用。</w:t>
      </w:r>
    </w:p>
    <w:p w14:paraId="0421EEC7">
      <w:pPr>
        <w:keepNext w:val="0"/>
        <w:keepLines w:val="0"/>
        <w:pageBreakBefore w:val="0"/>
        <w:kinsoku/>
        <w:overflowPunct/>
        <w:topLinePunct w:val="0"/>
        <w:autoSpaceDE/>
        <w:autoSpaceDN/>
        <w:bidi w:val="0"/>
        <w:adjustRightInd/>
        <w:spacing w:line="240" w:lineRule="auto"/>
        <w:ind w:firstLine="420" w:firstLineChars="200"/>
        <w:textAlignment w:val="auto"/>
        <w:rPr>
          <w:rStyle w:val="9"/>
          <w:rFonts w:ascii="仿宋_GB2312" w:hAnsi="仿宋_GB2312" w:eastAsia="仿宋_GB2312" w:cs="仿宋_GB2312"/>
          <w:sz w:val="21"/>
          <w:szCs w:val="21"/>
          <w:lang w:eastAsia="zh-CN"/>
        </w:rPr>
      </w:pPr>
      <w:r>
        <w:rPr>
          <w:rStyle w:val="9"/>
          <w:rFonts w:hint="eastAsia" w:ascii="仿宋_GB2312" w:hAnsi="仿宋_GB2312" w:eastAsia="仿宋_GB2312" w:cs="仿宋_GB2312"/>
          <w:sz w:val="21"/>
          <w:szCs w:val="21"/>
          <w:lang w:eastAsia="zh-CN"/>
        </w:rPr>
        <w:t>（八）窗帘、隔帘等产品自安装、调试正常运行并验收合格之日起，保质期为5年。窗帘、隔帘等产品自安装、调试正常运行并验收合格之日起60个工作日内，如出现质量问题，可以选择换货或退货。窗帘、隔帘等产品自安装、调试正常运行并验收合格之日起120个工作日内，如出现质量问题，可以选择换货。</w:t>
      </w:r>
    </w:p>
    <w:p w14:paraId="35B0B3C2">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十、技术与服务</w:t>
      </w:r>
    </w:p>
    <w:p w14:paraId="46C36526">
      <w:pPr>
        <w:keepNext w:val="0"/>
        <w:keepLines w:val="0"/>
        <w:pageBreakBefore w:val="0"/>
        <w:tabs>
          <w:tab w:val="left" w:pos="480"/>
        </w:tabs>
        <w:kinsoku/>
        <w:overflowPunct/>
        <w:topLinePunct w:val="0"/>
        <w:autoSpaceDE/>
        <w:autoSpaceDN/>
        <w:bidi w:val="0"/>
        <w:adjustRightInd/>
        <w:spacing w:line="240" w:lineRule="auto"/>
        <w:ind w:firstLine="422" w:firstLineChars="200"/>
        <w:textAlignment w:val="auto"/>
        <w:rPr>
          <w:rFonts w:ascii="仿宋_GB2312" w:hAnsi="仿宋_GB2312" w:eastAsia="仿宋_GB2312" w:cs="仿宋_GB2312"/>
          <w:b/>
          <w:color w:val="FF0000"/>
          <w:sz w:val="21"/>
          <w:szCs w:val="21"/>
          <w:lang w:eastAsia="zh-CN"/>
        </w:rPr>
      </w:pPr>
      <w:r>
        <w:rPr>
          <w:rFonts w:hint="eastAsia" w:ascii="仿宋_GB2312" w:hAnsi="仿宋_GB2312" w:eastAsia="仿宋_GB2312" w:cs="仿宋_GB2312"/>
          <w:b/>
          <w:color w:val="FF0000"/>
          <w:sz w:val="21"/>
          <w:szCs w:val="21"/>
          <w:lang w:eastAsia="zh-CN"/>
        </w:rPr>
        <w:t>（以下内容仅供参考，具体内容按照招标文件第四章合同条款以及投标文件响应条款中的对应内容拟定，若投标文件响应条款优于招标文件的按投标文件内容拟定，双方可协商增加内容，但必须优于招标文件要求和投标文件响应内容）</w:t>
      </w:r>
    </w:p>
    <w:p w14:paraId="39883D71">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（一）技术资料</w:t>
      </w:r>
    </w:p>
    <w:p w14:paraId="68EBA237">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1.产品合格证；</w:t>
      </w:r>
    </w:p>
    <w:p w14:paraId="76D841CB">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2.产品技术参数；</w:t>
      </w:r>
    </w:p>
    <w:p w14:paraId="43C07206">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3.产品使用维护说明书（中文）；</w:t>
      </w:r>
    </w:p>
    <w:p w14:paraId="315E8B78">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4.其它资料</w:t>
      </w:r>
    </w:p>
    <w:p w14:paraId="6B3F1928">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（二）服务承诺</w:t>
      </w:r>
    </w:p>
    <w:p w14:paraId="259BEA4D">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以投标文件、澄清表（函）、合同和随产品/设备的相关文件为准。</w:t>
      </w:r>
    </w:p>
    <w:p w14:paraId="6D0A8FB9">
      <w:pPr>
        <w:keepNext w:val="0"/>
        <w:keepLines w:val="0"/>
        <w:pageBreakBefore w:val="0"/>
        <w:kinsoku/>
        <w:overflowPunct/>
        <w:topLinePunct w:val="0"/>
        <w:autoSpaceDE/>
        <w:autoSpaceDN/>
        <w:bidi w:val="0"/>
        <w:adjustRightInd/>
        <w:spacing w:line="240" w:lineRule="auto"/>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（三）双方拟定的其他条款。</w:t>
      </w:r>
    </w:p>
    <w:p w14:paraId="6CF9EFFF">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十一、违约责任</w:t>
      </w:r>
    </w:p>
    <w:p w14:paraId="1C6A1131">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（一）按《合同法》中的相关条款执行。</w:t>
      </w:r>
    </w:p>
    <w:p w14:paraId="4BF1A7BA">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未按合同要求提供产品或产品质量不能满足合同要求，甲方应当将乙方违约的情况以及拟采取的措施以书面形式报政府采购监管部门，根据政府采购监管部门的处理意见，甲方有权依据《合同法》有关条款及合同约定终止合同，并要求乙方承担违约责任。同时，政府采购监管部门有权依据《政府采购法》及相关法律法规对乙方的违法行为进行相应的处罚。</w:t>
      </w:r>
    </w:p>
    <w:p w14:paraId="7774A0E1">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（三）交货期每超过一天，扣除乙方合同总价款的‰。</w:t>
      </w:r>
    </w:p>
    <w:p w14:paraId="6F75EC33">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（四）双方拟定的其他条款。</w:t>
      </w:r>
    </w:p>
    <w:p w14:paraId="4776AA48">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十二、争议解决</w:t>
      </w:r>
    </w:p>
    <w:p w14:paraId="0A1CE16A">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（一）本合同在履行过程中发生的争议，由甲、乙双方当事人协商解决，协商不成的按下列第种方式解决：</w:t>
      </w:r>
    </w:p>
    <w:p w14:paraId="29038C86">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1.提交西安仲裁委员会仲裁；</w:t>
      </w:r>
    </w:p>
    <w:p w14:paraId="47838796">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2.依法向甲方所在地人民法院起诉。</w:t>
      </w:r>
    </w:p>
    <w:p w14:paraId="6C186784">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（二）本条款为独立条款，本合同的无效、变更、解除和终止均不影响本条款的效力。</w:t>
      </w:r>
    </w:p>
    <w:p w14:paraId="53F179A6">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十三、合同变更</w:t>
      </w:r>
    </w:p>
    <w:p w14:paraId="3269737A">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DEEC01A">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十四、合同生效</w:t>
      </w:r>
    </w:p>
    <w:p w14:paraId="418B0F76">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本合同一式份，甲方持份，乙方持份，鉴证方持壹份，西安市财政局政府采购管理处备案叁份，本合同甲、乙、鉴证各方签字盖章后生效，合同执行完毕后，自动失效（合同的服务承诺则长期有效）。</w:t>
      </w:r>
    </w:p>
    <w:p w14:paraId="0C2C2238">
      <w:pPr>
        <w:keepNext w:val="0"/>
        <w:keepLines w:val="0"/>
        <w:pageBreakBefore w:val="0"/>
        <w:tabs>
          <w:tab w:val="left" w:pos="480"/>
        </w:tabs>
        <w:kinsoku/>
        <w:overflowPunct/>
        <w:topLinePunct w:val="0"/>
        <w:autoSpaceDE/>
        <w:autoSpaceDN/>
        <w:bidi w:val="0"/>
        <w:adjustRightInd/>
        <w:spacing w:line="240" w:lineRule="auto"/>
        <w:textAlignment w:val="auto"/>
        <w:rPr>
          <w:rFonts w:ascii="仿宋_GB2312" w:hAnsi="仿宋_GB2312" w:eastAsia="仿宋_GB2312" w:cs="仿宋_GB2312"/>
          <w:b/>
          <w:sz w:val="21"/>
          <w:szCs w:val="21"/>
          <w:lang w:eastAsia="zh-CN"/>
        </w:rPr>
      </w:pPr>
      <w:r>
        <w:rPr>
          <w:rFonts w:hint="eastAsia" w:ascii="仿宋_GB2312" w:hAnsi="仿宋_GB2312" w:eastAsia="仿宋_GB2312" w:cs="仿宋_GB2312"/>
          <w:b/>
          <w:sz w:val="21"/>
          <w:szCs w:val="21"/>
          <w:lang w:eastAsia="zh-CN"/>
        </w:rPr>
        <w:t>十五、其他事项</w:t>
      </w:r>
    </w:p>
    <w:p w14:paraId="57643DC9">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1.鉴证方作为集中采购代理机构对合同进行确认。</w:t>
      </w:r>
    </w:p>
    <w:p w14:paraId="4159A1A2">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2.西安市财政局政府采购管理处在合同的履行期间以及履行期后，可以随时检查项目的执行情况，对采购标准、采购内容进行调查核实，并对发现的问题进行处理。</w:t>
      </w:r>
    </w:p>
    <w:p w14:paraId="072EA7CF">
      <w:pPr>
        <w:keepNext w:val="0"/>
        <w:keepLines w:val="0"/>
        <w:pageBreakBefore w:val="0"/>
        <w:kinsoku/>
        <w:overflowPunct/>
        <w:topLinePunct w:val="0"/>
        <w:autoSpaceDE/>
        <w:autoSpaceDN/>
        <w:bidi w:val="0"/>
        <w:adjustRightInd/>
        <w:spacing w:line="240" w:lineRule="auto"/>
        <w:ind w:firstLine="420" w:firstLineChars="200"/>
        <w:textAlignment w:val="auto"/>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3.招标文件、投标文件、澄清表（函）、中标通知书、合同附件均成为合同不可分割的部分。</w:t>
      </w:r>
    </w:p>
    <w:p w14:paraId="331745E6">
      <w:pPr>
        <w:keepNext w:val="0"/>
        <w:keepLines w:val="0"/>
        <w:pageBreakBefore w:val="0"/>
        <w:kinsoku/>
        <w:overflowPunct/>
        <w:topLinePunct w:val="0"/>
        <w:autoSpaceDE/>
        <w:autoSpaceDN/>
        <w:bidi w:val="0"/>
        <w:adjustRightInd/>
        <w:spacing w:line="240" w:lineRule="auto"/>
        <w:ind w:firstLine="420" w:firstLineChars="200"/>
        <w:textAlignment w:val="auto"/>
        <w:rPr>
          <w:rFonts w:hint="eastAsia"/>
          <w:sz w:val="21"/>
          <w:szCs w:val="21"/>
          <w:lang w:val="en-US" w:eastAsia="zh-Hans"/>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仿宋_GB2312" w:eastAsia="仿宋_GB2312" w:cs="仿宋_GB2312"/>
          <w:sz w:val="21"/>
          <w:szCs w:val="21"/>
          <w:lang w:eastAsia="zh-CN"/>
        </w:rPr>
        <w:t>4.合同未尽事宜，由甲、乙双方协商并经鉴证方确认后签订政府采购补充合同，与原合同具有同等法律效力。</w:t>
      </w:r>
      <w:bookmarkStart w:id="0" w:name="_GoBack"/>
      <w:bookmarkEnd w:id="0"/>
    </w:p>
    <w:p w14:paraId="4F5CC9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A7C2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FC6CAB">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FFC6CAB">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725BFC"/>
    <w:rsid w:val="18725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表格文字"/>
    <w:basedOn w:val="3"/>
    <w:qFormat/>
    <w:uiPriority w:val="0"/>
    <w:pPr>
      <w:adjustRightInd w:val="0"/>
    </w:pPr>
    <w:rPr>
      <w:rFonts w:cs="宋体"/>
    </w:rPr>
  </w:style>
  <w:style w:type="paragraph" w:customStyle="1" w:styleId="3">
    <w:name w:val="表格文字（两侧对齐）"/>
    <w:basedOn w:val="1"/>
    <w:qFormat/>
    <w:uiPriority w:val="0"/>
    <w:pPr>
      <w:snapToGrid w:val="0"/>
    </w:pPr>
    <w:rPr>
      <w:kern w:val="0"/>
      <w:sz w:val="20"/>
    </w:rPr>
  </w:style>
  <w:style w:type="paragraph" w:styleId="4">
    <w:name w:val="Body Text"/>
    <w:basedOn w:val="1"/>
    <w:next w:val="1"/>
    <w:qFormat/>
    <w:uiPriority w:val="1"/>
    <w:pPr>
      <w:ind w:left="490"/>
    </w:pPr>
    <w:rPr>
      <w:sz w:val="19"/>
      <w:szCs w:val="19"/>
    </w:rPr>
  </w:style>
  <w:style w:type="paragraph" w:styleId="5">
    <w:name w:val="footer"/>
    <w:basedOn w:val="1"/>
    <w:next w:val="1"/>
    <w:unhideWhenUsed/>
    <w:qFormat/>
    <w:uiPriority w:val="99"/>
    <w:pPr>
      <w:tabs>
        <w:tab w:val="center" w:pos="4153"/>
        <w:tab w:val="right" w:pos="8306"/>
      </w:tabs>
      <w:snapToGrid w:val="0"/>
      <w:jc w:val="left"/>
    </w:pPr>
    <w:rPr>
      <w:sz w:val="18"/>
      <w:szCs w:val="18"/>
    </w:rPr>
  </w:style>
  <w:style w:type="paragraph" w:customStyle="1" w:styleId="8">
    <w:name w:val="※正文"/>
    <w:basedOn w:val="1"/>
    <w:next w:val="1"/>
    <w:qFormat/>
    <w:uiPriority w:val="0"/>
    <w:pPr>
      <w:widowControl/>
      <w:wordWrap w:val="0"/>
      <w:spacing w:line="400" w:lineRule="exact"/>
    </w:pPr>
    <w:rPr>
      <w:rFonts w:ascii="Calibri Light" w:hAnsi="Calibri Light" w:eastAsia="华文仿宋"/>
      <w:sz w:val="28"/>
      <w:szCs w:val="28"/>
    </w:rPr>
  </w:style>
  <w:style w:type="character" w:customStyle="1" w:styleId="9">
    <w:name w:val="本文正文 Char1 Char Char Char Char Char Char Char Char Char Char Char Char Char Char Char Char Char Char Char Char Char Char Char Char Char Char"/>
    <w:link w:val="10"/>
    <w:qFormat/>
    <w:uiPriority w:val="0"/>
    <w:rPr>
      <w:rFonts w:eastAsiaTheme="minorEastAsia" w:cstheme="minorBidi"/>
      <w:sz w:val="24"/>
      <w:szCs w:val="24"/>
    </w:rPr>
  </w:style>
  <w:style w:type="paragraph" w:customStyle="1" w:styleId="10">
    <w:name w:val="本文正文 Char1 Char Char Char Char Char Char Char Char Char Char Char Char Char Char Char Char Char Char Char Char Char Char Char Char"/>
    <w:basedOn w:val="1"/>
    <w:link w:val="9"/>
    <w:qFormat/>
    <w:uiPriority w:val="0"/>
    <w:pPr>
      <w:spacing w:line="480" w:lineRule="exact"/>
      <w:ind w:firstLine="200" w:firstLineChars="200"/>
    </w:pPr>
    <w:rPr>
      <w:rFonts w:eastAsiaTheme="minorEastAsia" w:cstheme="minorBidi"/>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2025-12-08T06:43:00Z</dcterms:created>
  <dc:creator>xxxx.</dc:creator>
  <cp:lastModifiedBy>xxxx.</cp:lastModifiedBy>
  <dcterms:modified xsi:type="dcterms:W3CDTF">2025-12-08T06:44:07Z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8D7FCCE80EE647C28F14C8490FD78981_11</vt:lpwstr>
  </property>
  <property fmtid="{D5CDD505-2E9C-101B-9397-08002B2CF9AE}" pid="4" name="KSOTemplateDocerSaveRecord">
    <vt:lpwstr>eyJoZGlkIjoiNDFlZWIzODNkZTk3MmFiYmM2ZGZlNjlmNzYwNmRkNTEiLCJ1c2VySWQiOiIzMjEzMDQ0ODcifQ==</vt:lpwstr>
  </property>
</Properties>
</file>